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2254" w14:textId="7D9ADE8E" w:rsidR="005C7E3D" w:rsidRPr="006C3A31" w:rsidRDefault="005C7E3D" w:rsidP="006C3A31">
      <w:pPr>
        <w:tabs>
          <w:tab w:val="right" w:pos="8931"/>
        </w:tabs>
        <w:spacing w:after="240"/>
        <w:rPr>
          <w:rFonts w:ascii="Bembo Std" w:hAnsi="Bembo Std"/>
          <w:b/>
          <w:caps/>
          <w:sz w:val="24"/>
        </w:rPr>
      </w:pPr>
      <w:r w:rsidRPr="006C3A31">
        <w:rPr>
          <w:rFonts w:ascii="Bembo Std" w:hAnsi="Bembo Std"/>
          <w:b/>
          <w:caps/>
          <w:sz w:val="24"/>
        </w:rPr>
        <w:t>CCLA INVESTMENT MANAGEMENT LIMITED</w:t>
      </w:r>
      <w:r w:rsidRPr="006C3A31">
        <w:rPr>
          <w:rFonts w:ascii="Bembo Std" w:hAnsi="Bembo Std"/>
          <w:b/>
          <w:caps/>
          <w:sz w:val="24"/>
        </w:rPr>
        <w:tab/>
      </w:r>
      <w:r w:rsidR="00757854" w:rsidRPr="006C3A31">
        <w:rPr>
          <w:rFonts w:ascii="Bembo Std" w:hAnsi="Bembo Std"/>
          <w:b/>
          <w:caps/>
          <w:sz w:val="24"/>
        </w:rPr>
        <w:t>PSDF(22)P</w:t>
      </w:r>
      <w:r w:rsidR="00ED2454" w:rsidRPr="006C3A31">
        <w:rPr>
          <w:rFonts w:ascii="Bembo Std" w:hAnsi="Bembo Std"/>
          <w:b/>
          <w:caps/>
          <w:sz w:val="24"/>
        </w:rPr>
        <w:t>10</w:t>
      </w:r>
    </w:p>
    <w:p w14:paraId="09A2B8AD" w14:textId="4031AB00" w:rsidR="005C7E3D" w:rsidRPr="006C3A31" w:rsidRDefault="004C468D" w:rsidP="006C3A31">
      <w:pPr>
        <w:spacing w:after="240"/>
        <w:rPr>
          <w:rFonts w:ascii="Bembo Std" w:hAnsi="Bembo Std"/>
          <w:b/>
          <w:caps/>
          <w:sz w:val="24"/>
        </w:rPr>
      </w:pPr>
      <w:r w:rsidRPr="006C3A31">
        <w:rPr>
          <w:rFonts w:ascii="Bembo Std" w:hAnsi="Bembo Std"/>
          <w:b/>
          <w:caps/>
          <w:sz w:val="24"/>
        </w:rPr>
        <w:t>The Public Sector Deposit Fund Advisory Board</w:t>
      </w:r>
    </w:p>
    <w:p w14:paraId="1C03871A" w14:textId="0E8CDE39" w:rsidR="008346A0" w:rsidRPr="006C3A31" w:rsidRDefault="00B35CAA" w:rsidP="006C3A31">
      <w:pPr>
        <w:spacing w:after="240"/>
        <w:rPr>
          <w:rFonts w:ascii="Bembo Std" w:hAnsi="Bembo Std"/>
          <w:b/>
          <w:caps/>
          <w:sz w:val="24"/>
          <w:szCs w:val="24"/>
          <w:u w:val="single"/>
        </w:rPr>
      </w:pPr>
      <w:bookmarkStart w:id="0" w:name="_Hlk74568084"/>
      <w:r w:rsidRPr="006C3A31">
        <w:rPr>
          <w:rFonts w:ascii="Bembo Std" w:hAnsi="Bembo Std"/>
          <w:b/>
          <w:caps/>
          <w:sz w:val="24"/>
          <w:szCs w:val="24"/>
          <w:u w:val="single"/>
        </w:rPr>
        <w:t>Stress Tests</w:t>
      </w:r>
      <w:r w:rsidR="005F0111" w:rsidRPr="006C3A31">
        <w:rPr>
          <w:rFonts w:ascii="Bembo Std" w:hAnsi="Bembo Std"/>
          <w:b/>
          <w:caps/>
          <w:sz w:val="24"/>
          <w:szCs w:val="24"/>
          <w:u w:val="single"/>
        </w:rPr>
        <w:t xml:space="preserve"> Reports</w:t>
      </w:r>
    </w:p>
    <w:bookmarkEnd w:id="0"/>
    <w:p w14:paraId="3083CBD2" w14:textId="3FB365EB" w:rsidR="00762677" w:rsidRPr="005C7E3D" w:rsidRDefault="005236E3" w:rsidP="005C7E3D">
      <w:pPr>
        <w:jc w:val="both"/>
        <w:rPr>
          <w:rFonts w:ascii="Bembo Std" w:hAnsi="Bembo Std"/>
          <w:bCs/>
          <w:iCs/>
          <w:noProof/>
          <w:color w:val="000000"/>
          <w:sz w:val="24"/>
          <w:szCs w:val="24"/>
          <w:lang w:eastAsia="en-GB"/>
        </w:rPr>
      </w:pPr>
      <w:r w:rsidRPr="005C7E3D">
        <w:rPr>
          <w:rFonts w:ascii="Bembo Std" w:hAnsi="Bembo Std"/>
          <w:bCs/>
          <w:iCs/>
          <w:noProof/>
          <w:color w:val="000000"/>
          <w:sz w:val="24"/>
          <w:szCs w:val="24"/>
          <w:lang w:eastAsia="en-GB"/>
        </w:rPr>
        <w:t xml:space="preserve">Money Market Fund Regulation introduced a number of rules which the Public Sector Deposit Fund (PSDF) must follow. As part of prudent risk management, Article 28 of the rules require Managers to have a stress testing procedure in place based on hypothetical scenarios and that such stress testing should take place at least bi-annually. </w:t>
      </w:r>
    </w:p>
    <w:p w14:paraId="0E596605" w14:textId="516342D6" w:rsidR="0081416A" w:rsidRPr="005C7E3D" w:rsidRDefault="0081416A" w:rsidP="005C7E3D">
      <w:pPr>
        <w:jc w:val="both"/>
        <w:rPr>
          <w:rFonts w:ascii="Bembo Std" w:hAnsi="Bembo Std"/>
          <w:bCs/>
          <w:iCs/>
          <w:noProof/>
          <w:color w:val="000000"/>
          <w:sz w:val="24"/>
          <w:szCs w:val="24"/>
          <w:lang w:eastAsia="en-GB"/>
        </w:rPr>
      </w:pPr>
      <w:r w:rsidRPr="005C7E3D">
        <w:rPr>
          <w:rFonts w:ascii="Bembo Std" w:hAnsi="Bembo Std"/>
          <w:bCs/>
          <w:iCs/>
          <w:noProof/>
          <w:color w:val="000000"/>
          <w:sz w:val="24"/>
          <w:szCs w:val="24"/>
          <w:lang w:eastAsia="en-GB"/>
        </w:rPr>
        <w:t>Stress tests are conducted at a frequency determined by the ACD, after considering what an appropriate and reasonable interval is, in light of the market conditions, and after considering any envisaged changes in the portfolio. Stress tests are currently carried out on a monthly basis</w:t>
      </w:r>
      <w:r w:rsidR="00FB2F06" w:rsidRPr="005C7E3D">
        <w:rPr>
          <w:rFonts w:ascii="Bembo Std" w:hAnsi="Bembo Std"/>
          <w:bCs/>
          <w:iCs/>
          <w:noProof/>
          <w:color w:val="000000"/>
          <w:sz w:val="24"/>
          <w:szCs w:val="24"/>
          <w:lang w:eastAsia="en-GB"/>
        </w:rPr>
        <w:t xml:space="preserve"> </w:t>
      </w:r>
      <w:r w:rsidR="005C7E3D">
        <w:rPr>
          <w:rFonts w:ascii="Bembo Std" w:hAnsi="Bembo Std"/>
          <w:bCs/>
          <w:iCs/>
          <w:noProof/>
          <w:color w:val="000000"/>
          <w:sz w:val="24"/>
          <w:szCs w:val="24"/>
          <w:lang w:eastAsia="en-GB"/>
        </w:rPr>
        <w:t xml:space="preserve">by </w:t>
      </w:r>
      <w:r w:rsidR="00FB2F06" w:rsidRPr="005C7E3D">
        <w:rPr>
          <w:rFonts w:ascii="Bembo Std" w:hAnsi="Bembo Std"/>
          <w:bCs/>
          <w:iCs/>
          <w:noProof/>
          <w:color w:val="000000"/>
          <w:sz w:val="24"/>
          <w:szCs w:val="24"/>
          <w:lang w:eastAsia="en-GB"/>
        </w:rPr>
        <w:t xml:space="preserve">the Investment Risk function and shared with the Cash Management </w:t>
      </w:r>
      <w:r w:rsidR="001F1001">
        <w:rPr>
          <w:rFonts w:ascii="Bembo Std" w:hAnsi="Bembo Std"/>
          <w:bCs/>
          <w:iCs/>
          <w:noProof/>
          <w:color w:val="000000"/>
          <w:sz w:val="24"/>
          <w:szCs w:val="24"/>
          <w:lang w:eastAsia="en-GB"/>
        </w:rPr>
        <w:t>T</w:t>
      </w:r>
      <w:r w:rsidR="00FB2F06" w:rsidRPr="005C7E3D">
        <w:rPr>
          <w:rFonts w:ascii="Bembo Std" w:hAnsi="Bembo Std"/>
          <w:bCs/>
          <w:iCs/>
          <w:noProof/>
          <w:color w:val="000000"/>
          <w:sz w:val="24"/>
          <w:szCs w:val="24"/>
          <w:lang w:eastAsia="en-GB"/>
        </w:rPr>
        <w:t xml:space="preserve">eam. </w:t>
      </w:r>
      <w:r w:rsidR="00F823FA" w:rsidRPr="005C7E3D">
        <w:rPr>
          <w:rFonts w:ascii="Bembo Std" w:hAnsi="Bembo Std"/>
          <w:bCs/>
          <w:iCs/>
          <w:noProof/>
          <w:color w:val="000000"/>
          <w:sz w:val="24"/>
          <w:szCs w:val="24"/>
          <w:lang w:eastAsia="en-GB"/>
        </w:rPr>
        <w:t>The PSDF is a Low Volatility Net Asset Value (LVNAV) Money Market Fund under the regulations. In the case of LVNAV MMFs, stress testing estimate</w:t>
      </w:r>
      <w:r w:rsidR="009D3390">
        <w:rPr>
          <w:rFonts w:ascii="Bembo Std" w:hAnsi="Bembo Std"/>
          <w:bCs/>
          <w:iCs/>
          <w:noProof/>
          <w:color w:val="000000"/>
          <w:sz w:val="24"/>
          <w:szCs w:val="24"/>
          <w:lang w:eastAsia="en-GB"/>
        </w:rPr>
        <w:t>s</w:t>
      </w:r>
      <w:r w:rsidR="00F823FA" w:rsidRPr="005C7E3D">
        <w:rPr>
          <w:rFonts w:ascii="Bembo Std" w:hAnsi="Bembo Std"/>
          <w:bCs/>
          <w:iCs/>
          <w:noProof/>
          <w:color w:val="000000"/>
          <w:sz w:val="24"/>
          <w:szCs w:val="24"/>
          <w:lang w:eastAsia="en-GB"/>
        </w:rPr>
        <w:t xml:space="preserve"> for different portfolio scenarios as well as publication of the difference between the constant NAV per share and the shadow NAV per share.</w:t>
      </w:r>
    </w:p>
    <w:p w14:paraId="4EDB8A08" w14:textId="2A4CCAA3" w:rsidR="0062235B" w:rsidRPr="005C7E3D" w:rsidRDefault="0062235B" w:rsidP="005C7E3D">
      <w:pPr>
        <w:jc w:val="both"/>
        <w:rPr>
          <w:rFonts w:ascii="Bembo Std" w:hAnsi="Bembo Std"/>
          <w:bCs/>
          <w:iCs/>
          <w:noProof/>
          <w:color w:val="000000"/>
          <w:sz w:val="24"/>
          <w:szCs w:val="24"/>
          <w:lang w:eastAsia="en-GB"/>
        </w:rPr>
      </w:pPr>
      <w:r w:rsidRPr="005C7E3D">
        <w:rPr>
          <w:rFonts w:ascii="Bembo Std" w:hAnsi="Bembo Std"/>
          <w:bCs/>
          <w:iCs/>
          <w:noProof/>
          <w:color w:val="000000"/>
          <w:sz w:val="24"/>
          <w:szCs w:val="24"/>
          <w:lang w:eastAsia="en-GB"/>
        </w:rPr>
        <w:t xml:space="preserve">The stress events are based on objective criteria and consider the effects of severe plausible scenarios. In addition to these the fund managers monitor other tests on a daily basis. </w:t>
      </w:r>
      <w:r w:rsidR="008846FB" w:rsidRPr="005C7E3D">
        <w:rPr>
          <w:rFonts w:ascii="Bembo Std" w:hAnsi="Bembo Std"/>
          <w:bCs/>
          <w:iCs/>
          <w:noProof/>
          <w:color w:val="000000"/>
          <w:sz w:val="24"/>
          <w:szCs w:val="24"/>
          <w:lang w:eastAsia="en-GB"/>
        </w:rPr>
        <w:t>The summary from the latest stress tests can be found below:</w:t>
      </w:r>
    </w:p>
    <w:p w14:paraId="20F319D9" w14:textId="709CE235" w:rsidR="0081416A" w:rsidRDefault="0081416A" w:rsidP="005C7E3D">
      <w:pPr>
        <w:jc w:val="both"/>
        <w:rPr>
          <w:rFonts w:ascii="Bembo Std" w:hAnsi="Bembo Std"/>
          <w:b/>
          <w:iCs/>
          <w:noProof/>
          <w:color w:val="000000"/>
          <w:sz w:val="24"/>
          <w:szCs w:val="24"/>
          <w:lang w:eastAsia="en-GB"/>
        </w:rPr>
      </w:pPr>
      <w:r w:rsidRPr="005C7E3D">
        <w:rPr>
          <w:rFonts w:ascii="Bembo Std" w:hAnsi="Bembo Std"/>
          <w:b/>
          <w:iCs/>
          <w:noProof/>
          <w:color w:val="000000"/>
          <w:sz w:val="24"/>
          <w:szCs w:val="24"/>
          <w:lang w:eastAsia="en-GB"/>
        </w:rPr>
        <w:t>PSDF Stress Testing – Summary of the tests at the end of last month</w:t>
      </w:r>
    </w:p>
    <w:p w14:paraId="2857DC50" w14:textId="01C3EB87" w:rsidR="00015777" w:rsidRDefault="002E34B9" w:rsidP="005C7E3D">
      <w:pPr>
        <w:jc w:val="both"/>
        <w:rPr>
          <w:rFonts w:ascii="Bembo Std" w:hAnsi="Bembo Std"/>
          <w:b/>
          <w:iCs/>
          <w:noProof/>
          <w:color w:val="000000"/>
          <w:sz w:val="24"/>
          <w:szCs w:val="24"/>
          <w:lang w:eastAsia="en-GB"/>
        </w:rPr>
      </w:pPr>
      <w:r>
        <w:rPr>
          <w:noProof/>
        </w:rPr>
        <w:drawing>
          <wp:inline distT="0" distB="0" distL="0" distR="0" wp14:anchorId="542F4966" wp14:editId="338CB7CD">
            <wp:extent cx="5731510" cy="17379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737995"/>
                    </a:xfrm>
                    <a:prstGeom prst="rect">
                      <a:avLst/>
                    </a:prstGeom>
                  </pic:spPr>
                </pic:pic>
              </a:graphicData>
            </a:graphic>
          </wp:inline>
        </w:drawing>
      </w:r>
    </w:p>
    <w:p w14:paraId="59B583CD" w14:textId="6EDC1FC4" w:rsidR="00262A79" w:rsidRDefault="00262A79" w:rsidP="005C7E3D">
      <w:pPr>
        <w:jc w:val="both"/>
        <w:rPr>
          <w:rFonts w:ascii="Bembo Std" w:hAnsi="Bembo Std"/>
          <w:b/>
          <w:iCs/>
          <w:noProof/>
          <w:color w:val="000000"/>
          <w:sz w:val="24"/>
          <w:szCs w:val="24"/>
          <w:lang w:eastAsia="en-GB"/>
        </w:rPr>
      </w:pPr>
      <w:r>
        <w:rPr>
          <w:noProof/>
        </w:rPr>
        <w:drawing>
          <wp:inline distT="0" distB="0" distL="0" distR="0" wp14:anchorId="0DBB9260" wp14:editId="6D65858F">
            <wp:extent cx="5731510" cy="2313940"/>
            <wp:effectExtent l="0" t="0" r="254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9"/>
                    <a:stretch>
                      <a:fillRect/>
                    </a:stretch>
                  </pic:blipFill>
                  <pic:spPr>
                    <a:xfrm>
                      <a:off x="0" y="0"/>
                      <a:ext cx="5731510" cy="2313940"/>
                    </a:xfrm>
                    <a:prstGeom prst="rect">
                      <a:avLst/>
                    </a:prstGeom>
                  </pic:spPr>
                </pic:pic>
              </a:graphicData>
            </a:graphic>
          </wp:inline>
        </w:drawing>
      </w:r>
    </w:p>
    <w:p w14:paraId="48282722" w14:textId="3CE3AA8C" w:rsidR="00A74EEB" w:rsidRPr="005C7E3D" w:rsidRDefault="00A74EEB" w:rsidP="005C7E3D">
      <w:pPr>
        <w:jc w:val="both"/>
        <w:rPr>
          <w:rFonts w:ascii="Bembo Std" w:hAnsi="Bembo Std"/>
          <w:b/>
          <w:iCs/>
          <w:noProof/>
          <w:color w:val="000000"/>
          <w:sz w:val="24"/>
          <w:szCs w:val="24"/>
          <w:lang w:eastAsia="en-GB"/>
        </w:rPr>
      </w:pPr>
    </w:p>
    <w:p w14:paraId="2ACE0511" w14:textId="77777777" w:rsidR="00125BC7" w:rsidRDefault="00125BC7">
      <w:pPr>
        <w:rPr>
          <w:rFonts w:ascii="Bembo Std" w:hAnsi="Bembo Std"/>
          <w:bCs/>
          <w:iCs/>
          <w:noProof/>
          <w:color w:val="000000"/>
          <w:sz w:val="24"/>
          <w:szCs w:val="24"/>
          <w:lang w:eastAsia="en-GB"/>
        </w:rPr>
      </w:pPr>
      <w:r>
        <w:rPr>
          <w:rFonts w:ascii="Bembo Std" w:hAnsi="Bembo Std"/>
          <w:bCs/>
          <w:iCs/>
          <w:noProof/>
          <w:color w:val="000000"/>
          <w:sz w:val="24"/>
          <w:szCs w:val="24"/>
          <w:lang w:eastAsia="en-GB"/>
        </w:rPr>
        <w:br w:type="page"/>
      </w:r>
    </w:p>
    <w:p w14:paraId="58FB480B" w14:textId="26EBA932" w:rsidR="00554046" w:rsidRPr="005C7E3D" w:rsidRDefault="00883EDD" w:rsidP="005C7E3D">
      <w:pPr>
        <w:jc w:val="both"/>
        <w:rPr>
          <w:rFonts w:ascii="Bembo Std" w:hAnsi="Bembo Std"/>
          <w:bCs/>
          <w:iCs/>
          <w:noProof/>
          <w:color w:val="000000"/>
          <w:sz w:val="24"/>
          <w:szCs w:val="24"/>
          <w:lang w:eastAsia="en-GB"/>
        </w:rPr>
      </w:pPr>
      <w:r w:rsidRPr="005C7E3D">
        <w:rPr>
          <w:rFonts w:ascii="Bembo Std" w:hAnsi="Bembo Std"/>
          <w:bCs/>
          <w:iCs/>
          <w:noProof/>
          <w:color w:val="000000"/>
          <w:sz w:val="24"/>
          <w:szCs w:val="24"/>
          <w:lang w:eastAsia="en-GB"/>
        </w:rPr>
        <w:lastRenderedPageBreak/>
        <w:t>A series of stress tests were undertaken using the end of month holdings</w:t>
      </w:r>
      <w:r w:rsidR="00A74EEB">
        <w:rPr>
          <w:rFonts w:ascii="Bembo Std" w:hAnsi="Bembo Std"/>
          <w:bCs/>
          <w:iCs/>
          <w:noProof/>
          <w:color w:val="000000"/>
          <w:sz w:val="24"/>
          <w:szCs w:val="24"/>
          <w:lang w:eastAsia="en-GB"/>
        </w:rPr>
        <w:t xml:space="preserve"> as at </w:t>
      </w:r>
      <w:r w:rsidR="00EC6E34">
        <w:rPr>
          <w:rFonts w:ascii="Bembo Std" w:hAnsi="Bembo Std"/>
          <w:bCs/>
          <w:iCs/>
          <w:noProof/>
          <w:color w:val="000000"/>
          <w:sz w:val="24"/>
          <w:szCs w:val="24"/>
          <w:lang w:eastAsia="en-GB"/>
        </w:rPr>
        <w:t>31</w:t>
      </w:r>
      <w:r w:rsidR="00E3120C">
        <w:rPr>
          <w:rFonts w:ascii="Bembo Std" w:hAnsi="Bembo Std"/>
          <w:bCs/>
          <w:iCs/>
          <w:noProof/>
          <w:color w:val="000000"/>
          <w:sz w:val="24"/>
          <w:szCs w:val="24"/>
          <w:lang w:eastAsia="en-GB"/>
        </w:rPr>
        <w:t xml:space="preserve"> </w:t>
      </w:r>
      <w:r w:rsidR="00EC6E34">
        <w:rPr>
          <w:rFonts w:ascii="Bembo Std" w:hAnsi="Bembo Std"/>
          <w:bCs/>
          <w:iCs/>
          <w:noProof/>
          <w:color w:val="000000"/>
          <w:sz w:val="24"/>
          <w:szCs w:val="24"/>
          <w:lang w:eastAsia="en-GB"/>
        </w:rPr>
        <w:t>May</w:t>
      </w:r>
      <w:r w:rsidR="00A74EEB">
        <w:rPr>
          <w:rFonts w:ascii="Bembo Std" w:hAnsi="Bembo Std"/>
          <w:bCs/>
          <w:iCs/>
          <w:noProof/>
          <w:color w:val="000000"/>
          <w:sz w:val="24"/>
          <w:szCs w:val="24"/>
          <w:lang w:eastAsia="en-GB"/>
        </w:rPr>
        <w:t xml:space="preserve"> 202</w:t>
      </w:r>
      <w:r w:rsidR="00E3120C">
        <w:rPr>
          <w:rFonts w:ascii="Bembo Std" w:hAnsi="Bembo Std"/>
          <w:bCs/>
          <w:iCs/>
          <w:noProof/>
          <w:color w:val="000000"/>
          <w:sz w:val="24"/>
          <w:szCs w:val="24"/>
          <w:lang w:eastAsia="en-GB"/>
        </w:rPr>
        <w:t>2</w:t>
      </w:r>
      <w:r w:rsidRPr="005C7E3D">
        <w:rPr>
          <w:rFonts w:ascii="Bembo Std" w:hAnsi="Bembo Std"/>
          <w:bCs/>
          <w:iCs/>
          <w:noProof/>
          <w:color w:val="000000"/>
          <w:sz w:val="24"/>
          <w:szCs w:val="24"/>
          <w:lang w:eastAsia="en-GB"/>
        </w:rPr>
        <w:t>. We closely monitor 12 of Confluence's stress tests</w:t>
      </w:r>
      <w:r w:rsidR="00CD2C71" w:rsidRPr="005C7E3D">
        <w:rPr>
          <w:rFonts w:ascii="Bembo Std" w:hAnsi="Bembo Std"/>
          <w:bCs/>
          <w:iCs/>
          <w:noProof/>
          <w:color w:val="000000"/>
          <w:sz w:val="24"/>
          <w:szCs w:val="24"/>
          <w:lang w:eastAsia="en-GB"/>
        </w:rPr>
        <w:t xml:space="preserve"> (as shown by the chart </w:t>
      </w:r>
      <w:r w:rsidR="009D3390">
        <w:rPr>
          <w:rFonts w:ascii="Bembo Std" w:hAnsi="Bembo Std"/>
          <w:bCs/>
          <w:iCs/>
          <w:noProof/>
          <w:color w:val="000000"/>
          <w:sz w:val="24"/>
          <w:szCs w:val="24"/>
          <w:lang w:eastAsia="en-GB"/>
        </w:rPr>
        <w:t>on page</w:t>
      </w:r>
      <w:r w:rsidR="008B2872">
        <w:rPr>
          <w:rFonts w:ascii="Bembo Std" w:hAnsi="Bembo Std"/>
          <w:bCs/>
          <w:iCs/>
          <w:noProof/>
          <w:color w:val="000000"/>
          <w:sz w:val="24"/>
          <w:szCs w:val="24"/>
          <w:lang w:eastAsia="en-GB"/>
        </w:rPr>
        <w:t xml:space="preserve"> </w:t>
      </w:r>
      <w:r w:rsidR="009D3390">
        <w:rPr>
          <w:rFonts w:ascii="Bembo Std" w:hAnsi="Bembo Std"/>
          <w:bCs/>
          <w:iCs/>
          <w:noProof/>
          <w:color w:val="000000"/>
          <w:sz w:val="24"/>
          <w:szCs w:val="24"/>
          <w:lang w:eastAsia="en-GB"/>
        </w:rPr>
        <w:t>1</w:t>
      </w:r>
      <w:r w:rsidR="008B2872">
        <w:rPr>
          <w:rFonts w:ascii="Bembo Std" w:hAnsi="Bembo Std"/>
          <w:bCs/>
          <w:iCs/>
          <w:noProof/>
          <w:color w:val="000000"/>
          <w:sz w:val="24"/>
          <w:szCs w:val="24"/>
          <w:lang w:eastAsia="en-GB"/>
        </w:rPr>
        <w:t>)</w:t>
      </w:r>
      <w:r w:rsidRPr="005C7E3D">
        <w:rPr>
          <w:rFonts w:ascii="Bembo Std" w:hAnsi="Bembo Std"/>
          <w:bCs/>
          <w:iCs/>
          <w:noProof/>
          <w:color w:val="000000"/>
          <w:sz w:val="24"/>
          <w:szCs w:val="24"/>
          <w:lang w:eastAsia="en-GB"/>
        </w:rPr>
        <w:t xml:space="preserve">, six relate to interest rate movements and the other six are macro-economic tests. </w:t>
      </w:r>
      <w:r w:rsidR="004B3E1A" w:rsidRPr="005C7E3D">
        <w:rPr>
          <w:rFonts w:ascii="Bembo Std" w:hAnsi="Bembo Std"/>
          <w:bCs/>
          <w:iCs/>
          <w:noProof/>
          <w:color w:val="000000"/>
          <w:sz w:val="24"/>
          <w:szCs w:val="24"/>
          <w:lang w:eastAsia="en-GB"/>
        </w:rPr>
        <w:t xml:space="preserve">The assumptions for the stress tests with a “2020” label have been updated by ESMA following the </w:t>
      </w:r>
      <w:r w:rsidR="00BD25AD" w:rsidRPr="005C7E3D">
        <w:rPr>
          <w:rFonts w:ascii="Bembo Std" w:hAnsi="Bembo Std"/>
          <w:bCs/>
          <w:iCs/>
          <w:noProof/>
          <w:color w:val="000000"/>
          <w:sz w:val="24"/>
          <w:szCs w:val="24"/>
          <w:lang w:eastAsia="en-GB"/>
        </w:rPr>
        <w:t xml:space="preserve">COVID-19 crisis </w:t>
      </w:r>
      <w:r w:rsidR="00A52600" w:rsidRPr="005C7E3D">
        <w:rPr>
          <w:rFonts w:ascii="Bembo Std" w:hAnsi="Bembo Std"/>
          <w:bCs/>
          <w:iCs/>
          <w:noProof/>
          <w:color w:val="000000"/>
          <w:sz w:val="24"/>
          <w:szCs w:val="24"/>
          <w:lang w:eastAsia="en-GB"/>
        </w:rPr>
        <w:t xml:space="preserve">to use </w:t>
      </w:r>
      <w:r w:rsidR="00BD25AD" w:rsidRPr="005C7E3D">
        <w:rPr>
          <w:rFonts w:ascii="Bembo Std" w:hAnsi="Bembo Std"/>
          <w:bCs/>
          <w:iCs/>
          <w:noProof/>
          <w:color w:val="000000"/>
          <w:sz w:val="24"/>
          <w:szCs w:val="24"/>
          <w:lang w:eastAsia="en-GB"/>
        </w:rPr>
        <w:t>more conservative assumptions</w:t>
      </w:r>
      <w:r w:rsidR="005C7E3D">
        <w:rPr>
          <w:rFonts w:ascii="Bembo Std" w:hAnsi="Bembo Std"/>
          <w:bCs/>
          <w:iCs/>
          <w:noProof/>
          <w:color w:val="000000"/>
          <w:sz w:val="24"/>
          <w:szCs w:val="24"/>
          <w:lang w:eastAsia="en-GB"/>
        </w:rPr>
        <w:t>,</w:t>
      </w:r>
      <w:r w:rsidR="00FB6E0B" w:rsidRPr="005C7E3D">
        <w:rPr>
          <w:rFonts w:ascii="Bembo Std" w:hAnsi="Bembo Std"/>
          <w:bCs/>
          <w:iCs/>
          <w:noProof/>
          <w:color w:val="000000"/>
          <w:sz w:val="24"/>
          <w:szCs w:val="24"/>
          <w:lang w:eastAsia="en-GB"/>
        </w:rPr>
        <w:t xml:space="preserve"> due to the extreme market movements observed during March 2020. </w:t>
      </w:r>
      <w:r w:rsidR="009D3390">
        <w:rPr>
          <w:rFonts w:ascii="Bembo Std" w:hAnsi="Bembo Std"/>
          <w:bCs/>
          <w:iCs/>
          <w:noProof/>
          <w:color w:val="000000"/>
          <w:sz w:val="24"/>
          <w:szCs w:val="24"/>
          <w:lang w:eastAsia="en-GB"/>
        </w:rPr>
        <w:t xml:space="preserve">Futher ammendments by ESMA to these assumptions are expected in the next quarter. </w:t>
      </w:r>
    </w:p>
    <w:p w14:paraId="04485D34" w14:textId="16341939" w:rsidR="00CD2C71" w:rsidRPr="005C7E3D" w:rsidRDefault="00152FA5" w:rsidP="005C7E3D">
      <w:pPr>
        <w:jc w:val="both"/>
        <w:rPr>
          <w:rFonts w:ascii="Bembo Std" w:hAnsi="Bembo Std"/>
          <w:bCs/>
          <w:iCs/>
          <w:noProof/>
          <w:color w:val="000000"/>
          <w:sz w:val="24"/>
          <w:szCs w:val="24"/>
          <w:lang w:eastAsia="en-GB"/>
        </w:rPr>
      </w:pPr>
      <w:r w:rsidRPr="005C7E3D">
        <w:rPr>
          <w:rFonts w:ascii="Bembo Std" w:hAnsi="Bembo Std"/>
          <w:bCs/>
          <w:iCs/>
          <w:noProof/>
          <w:color w:val="000000"/>
          <w:sz w:val="24"/>
          <w:szCs w:val="24"/>
          <w:lang w:eastAsia="en-GB"/>
        </w:rPr>
        <w:t xml:space="preserve">There are currently </w:t>
      </w:r>
      <w:r w:rsidR="00792A4A">
        <w:rPr>
          <w:rFonts w:ascii="Bembo Std" w:hAnsi="Bembo Std"/>
          <w:bCs/>
          <w:iCs/>
          <w:noProof/>
          <w:color w:val="000000"/>
          <w:sz w:val="24"/>
          <w:szCs w:val="24"/>
          <w:lang w:eastAsia="en-GB"/>
        </w:rPr>
        <w:t xml:space="preserve">four </w:t>
      </w:r>
      <w:r w:rsidRPr="005C7E3D">
        <w:rPr>
          <w:rFonts w:ascii="Bembo Std" w:hAnsi="Bembo Std"/>
          <w:bCs/>
          <w:iCs/>
          <w:noProof/>
          <w:color w:val="000000"/>
          <w:sz w:val="24"/>
          <w:szCs w:val="24"/>
          <w:lang w:eastAsia="en-GB"/>
        </w:rPr>
        <w:t xml:space="preserve">scenarios </w:t>
      </w:r>
      <w:r w:rsidR="008846FB" w:rsidRPr="005C7E3D">
        <w:rPr>
          <w:rFonts w:ascii="Bembo Std" w:hAnsi="Bembo Std"/>
          <w:bCs/>
          <w:iCs/>
          <w:noProof/>
          <w:color w:val="000000"/>
          <w:sz w:val="24"/>
          <w:szCs w:val="24"/>
          <w:lang w:eastAsia="en-GB"/>
        </w:rPr>
        <w:t>that would break the</w:t>
      </w:r>
      <w:r w:rsidR="00E82938" w:rsidRPr="005C7E3D">
        <w:rPr>
          <w:rFonts w:ascii="Bembo Std" w:hAnsi="Bembo Std"/>
          <w:bCs/>
          <w:iCs/>
          <w:noProof/>
          <w:color w:val="000000"/>
          <w:sz w:val="24"/>
          <w:szCs w:val="24"/>
          <w:lang w:eastAsia="en-GB"/>
        </w:rPr>
        <w:t xml:space="preserve"> Fund’s LVNAV 20 basis point collar at the end of </w:t>
      </w:r>
      <w:r w:rsidR="009D3390">
        <w:rPr>
          <w:rFonts w:ascii="Bembo Std" w:hAnsi="Bembo Std"/>
          <w:bCs/>
          <w:iCs/>
          <w:noProof/>
          <w:color w:val="000000"/>
          <w:sz w:val="24"/>
          <w:szCs w:val="24"/>
          <w:lang w:eastAsia="en-GB"/>
        </w:rPr>
        <w:t>April</w:t>
      </w:r>
      <w:r w:rsidR="00E82938" w:rsidRPr="005C7E3D">
        <w:rPr>
          <w:rFonts w:ascii="Bembo Std" w:hAnsi="Bembo Std"/>
          <w:bCs/>
          <w:iCs/>
          <w:noProof/>
          <w:color w:val="000000"/>
          <w:sz w:val="24"/>
          <w:szCs w:val="24"/>
          <w:lang w:eastAsia="en-GB"/>
        </w:rPr>
        <w:t>.</w:t>
      </w:r>
      <w:r w:rsidR="00957AB4" w:rsidRPr="005C7E3D">
        <w:rPr>
          <w:rFonts w:ascii="Bembo Std" w:hAnsi="Bembo Std"/>
          <w:bCs/>
          <w:iCs/>
          <w:noProof/>
          <w:color w:val="000000"/>
          <w:sz w:val="24"/>
          <w:szCs w:val="24"/>
          <w:lang w:eastAsia="en-GB"/>
        </w:rPr>
        <w:t xml:space="preserve"> </w:t>
      </w:r>
    </w:p>
    <w:p w14:paraId="64F7794D" w14:textId="732349AD" w:rsidR="00B91526" w:rsidRDefault="008F5E12" w:rsidP="002726DD">
      <w:pPr>
        <w:pStyle w:val="ListParagraph"/>
        <w:numPr>
          <w:ilvl w:val="0"/>
          <w:numId w:val="2"/>
        </w:numPr>
        <w:jc w:val="both"/>
        <w:rPr>
          <w:rFonts w:ascii="Bembo Std" w:hAnsi="Bembo Std"/>
          <w:bCs/>
          <w:iCs/>
          <w:noProof/>
          <w:color w:val="000000"/>
          <w:sz w:val="24"/>
          <w:szCs w:val="24"/>
          <w:lang w:eastAsia="en-GB"/>
        </w:rPr>
      </w:pPr>
      <w:r w:rsidRPr="005C7E3D">
        <w:rPr>
          <w:rFonts w:ascii="Bembo Std" w:hAnsi="Bembo Std"/>
          <w:bCs/>
          <w:iCs/>
          <w:noProof/>
          <w:color w:val="000000"/>
          <w:sz w:val="24"/>
          <w:szCs w:val="24"/>
          <w:lang w:eastAsia="en-GB"/>
        </w:rPr>
        <w:t xml:space="preserve">The </w:t>
      </w:r>
      <w:r w:rsidR="008B2191">
        <w:rPr>
          <w:rFonts w:ascii="Bembo Std" w:hAnsi="Bembo Std"/>
          <w:bCs/>
          <w:iCs/>
          <w:noProof/>
          <w:color w:val="000000"/>
          <w:sz w:val="24"/>
          <w:szCs w:val="24"/>
          <w:lang w:eastAsia="en-GB"/>
        </w:rPr>
        <w:t xml:space="preserve">first </w:t>
      </w:r>
      <w:r w:rsidR="006A495E">
        <w:rPr>
          <w:rFonts w:ascii="Bembo Std" w:hAnsi="Bembo Std"/>
          <w:bCs/>
          <w:iCs/>
          <w:noProof/>
          <w:color w:val="000000"/>
          <w:sz w:val="24"/>
          <w:szCs w:val="24"/>
          <w:lang w:eastAsia="en-GB"/>
        </w:rPr>
        <w:t>two</w:t>
      </w:r>
      <w:r w:rsidR="008B2191">
        <w:rPr>
          <w:rFonts w:ascii="Bembo Std" w:hAnsi="Bembo Std"/>
          <w:bCs/>
          <w:iCs/>
          <w:noProof/>
          <w:color w:val="000000"/>
          <w:sz w:val="24"/>
          <w:szCs w:val="24"/>
          <w:lang w:eastAsia="en-GB"/>
        </w:rPr>
        <w:t xml:space="preserve"> scenarios are</w:t>
      </w:r>
      <w:r w:rsidRPr="005C7E3D">
        <w:rPr>
          <w:rFonts w:ascii="Bembo Std" w:hAnsi="Bembo Std"/>
          <w:bCs/>
          <w:iCs/>
          <w:noProof/>
          <w:color w:val="000000"/>
          <w:sz w:val="24"/>
          <w:szCs w:val="24"/>
          <w:lang w:eastAsia="en-GB"/>
        </w:rPr>
        <w:t xml:space="preserve"> the “Black October”</w:t>
      </w:r>
      <w:r w:rsidR="008B2191">
        <w:rPr>
          <w:rFonts w:ascii="Bembo Std" w:hAnsi="Bembo Std"/>
          <w:bCs/>
          <w:iCs/>
          <w:noProof/>
          <w:color w:val="000000"/>
          <w:sz w:val="24"/>
          <w:szCs w:val="24"/>
          <w:lang w:eastAsia="en-GB"/>
        </w:rPr>
        <w:t xml:space="preserve"> and the “Coronavirus Out</w:t>
      </w:r>
      <w:r w:rsidR="001F1001">
        <w:rPr>
          <w:rFonts w:ascii="Bembo Std" w:hAnsi="Bembo Std"/>
          <w:bCs/>
          <w:iCs/>
          <w:noProof/>
          <w:color w:val="000000"/>
          <w:sz w:val="24"/>
          <w:szCs w:val="24"/>
          <w:lang w:eastAsia="en-GB"/>
        </w:rPr>
        <w:t>b</w:t>
      </w:r>
      <w:r w:rsidR="008B2191">
        <w:rPr>
          <w:rFonts w:ascii="Bembo Std" w:hAnsi="Bembo Std"/>
          <w:bCs/>
          <w:iCs/>
          <w:noProof/>
          <w:color w:val="000000"/>
          <w:sz w:val="24"/>
          <w:szCs w:val="24"/>
          <w:lang w:eastAsia="en-GB"/>
        </w:rPr>
        <w:t>reak”</w:t>
      </w:r>
      <w:r w:rsidRPr="005C7E3D">
        <w:rPr>
          <w:rFonts w:ascii="Bembo Std" w:hAnsi="Bembo Std"/>
          <w:bCs/>
          <w:iCs/>
          <w:noProof/>
          <w:color w:val="000000"/>
          <w:sz w:val="24"/>
          <w:szCs w:val="24"/>
          <w:lang w:eastAsia="en-GB"/>
        </w:rPr>
        <w:t xml:space="preserve"> scenario which if it were to occur now could </w:t>
      </w:r>
      <w:r w:rsidR="006226FE" w:rsidRPr="005C7E3D">
        <w:rPr>
          <w:rFonts w:ascii="Bembo Std" w:hAnsi="Bembo Std"/>
          <w:bCs/>
          <w:iCs/>
          <w:noProof/>
          <w:color w:val="000000"/>
          <w:sz w:val="24"/>
          <w:szCs w:val="24"/>
          <w:lang w:eastAsia="en-GB"/>
        </w:rPr>
        <w:t xml:space="preserve">result in the </w:t>
      </w:r>
      <w:r w:rsidR="000815EB" w:rsidRPr="005C7E3D">
        <w:rPr>
          <w:rFonts w:ascii="Bembo Std" w:hAnsi="Bembo Std"/>
          <w:bCs/>
          <w:iCs/>
          <w:noProof/>
          <w:color w:val="000000"/>
          <w:sz w:val="24"/>
          <w:szCs w:val="24"/>
          <w:lang w:eastAsia="en-GB"/>
        </w:rPr>
        <w:t xml:space="preserve">Fund’s </w:t>
      </w:r>
      <w:r w:rsidR="00B30E89" w:rsidRPr="005C7E3D">
        <w:rPr>
          <w:rFonts w:ascii="Bembo Std" w:hAnsi="Bembo Std"/>
          <w:bCs/>
          <w:iCs/>
          <w:noProof/>
          <w:color w:val="000000"/>
          <w:sz w:val="24"/>
          <w:szCs w:val="24"/>
          <w:lang w:eastAsia="en-GB"/>
        </w:rPr>
        <w:t>LVNAV</w:t>
      </w:r>
      <w:r w:rsidR="000815EB" w:rsidRPr="005C7E3D">
        <w:rPr>
          <w:rFonts w:ascii="Bembo Std" w:hAnsi="Bembo Std"/>
          <w:bCs/>
          <w:iCs/>
          <w:noProof/>
          <w:color w:val="000000"/>
          <w:sz w:val="24"/>
          <w:szCs w:val="24"/>
          <w:lang w:eastAsia="en-GB"/>
        </w:rPr>
        <w:t xml:space="preserve"> </w:t>
      </w:r>
      <w:r w:rsidR="008B2191">
        <w:rPr>
          <w:rFonts w:ascii="Bembo Std" w:hAnsi="Bembo Std"/>
          <w:bCs/>
          <w:iCs/>
          <w:noProof/>
          <w:color w:val="000000"/>
          <w:sz w:val="24"/>
          <w:szCs w:val="24"/>
          <w:lang w:eastAsia="en-GB"/>
        </w:rPr>
        <w:t xml:space="preserve">falling by </w:t>
      </w:r>
      <w:r w:rsidR="00E53DF3" w:rsidRPr="005C7E3D">
        <w:rPr>
          <w:rFonts w:ascii="Bembo Std" w:hAnsi="Bembo Std"/>
          <w:bCs/>
          <w:iCs/>
          <w:noProof/>
          <w:color w:val="000000"/>
          <w:sz w:val="24"/>
          <w:szCs w:val="24"/>
          <w:lang w:eastAsia="en-GB"/>
        </w:rPr>
        <w:t>-</w:t>
      </w:r>
      <w:r w:rsidR="00A74EEB" w:rsidRPr="00A74EEB">
        <w:rPr>
          <w:rFonts w:ascii="Bembo Std" w:hAnsi="Bembo Std"/>
          <w:bCs/>
          <w:iCs/>
          <w:noProof/>
          <w:color w:val="000000"/>
          <w:sz w:val="24"/>
          <w:szCs w:val="24"/>
          <w:lang w:eastAsia="en-GB"/>
        </w:rPr>
        <w:t>0.</w:t>
      </w:r>
      <w:r w:rsidR="006F4A9F">
        <w:rPr>
          <w:rFonts w:ascii="Bembo Std" w:hAnsi="Bembo Std"/>
          <w:bCs/>
          <w:iCs/>
          <w:noProof/>
          <w:color w:val="000000"/>
          <w:sz w:val="24"/>
          <w:szCs w:val="24"/>
          <w:lang w:eastAsia="en-GB"/>
        </w:rPr>
        <w:t>230</w:t>
      </w:r>
      <w:r w:rsidR="00A74EEB" w:rsidRPr="00A74EEB">
        <w:rPr>
          <w:rFonts w:ascii="Bembo Std" w:hAnsi="Bembo Std"/>
          <w:bCs/>
          <w:iCs/>
          <w:noProof/>
          <w:color w:val="000000"/>
          <w:sz w:val="24"/>
          <w:szCs w:val="24"/>
          <w:lang w:eastAsia="en-GB"/>
        </w:rPr>
        <w:t>%</w:t>
      </w:r>
      <w:r w:rsidR="008B2191">
        <w:rPr>
          <w:rFonts w:ascii="Bembo Std" w:hAnsi="Bembo Std"/>
          <w:bCs/>
          <w:iCs/>
          <w:noProof/>
          <w:color w:val="000000"/>
          <w:sz w:val="24"/>
          <w:szCs w:val="24"/>
          <w:lang w:eastAsia="en-GB"/>
        </w:rPr>
        <w:t xml:space="preserve"> and -</w:t>
      </w:r>
      <w:r w:rsidR="008B2191" w:rsidRPr="008B2191">
        <w:rPr>
          <w:rFonts w:ascii="Bembo Std" w:hAnsi="Bembo Std"/>
          <w:bCs/>
          <w:iCs/>
          <w:noProof/>
          <w:color w:val="000000"/>
          <w:sz w:val="24"/>
          <w:szCs w:val="24"/>
          <w:lang w:eastAsia="en-GB"/>
        </w:rPr>
        <w:t>0.</w:t>
      </w:r>
      <w:r w:rsidR="006F4A9F">
        <w:rPr>
          <w:rFonts w:ascii="Bembo Std" w:hAnsi="Bembo Std"/>
          <w:bCs/>
          <w:iCs/>
          <w:noProof/>
          <w:color w:val="000000"/>
          <w:sz w:val="24"/>
          <w:szCs w:val="24"/>
          <w:lang w:eastAsia="en-GB"/>
        </w:rPr>
        <w:t>192</w:t>
      </w:r>
      <w:r w:rsidR="008B2191" w:rsidRPr="008B2191">
        <w:rPr>
          <w:rFonts w:ascii="Bembo Std" w:hAnsi="Bembo Std"/>
          <w:bCs/>
          <w:iCs/>
          <w:noProof/>
          <w:color w:val="000000"/>
          <w:sz w:val="24"/>
          <w:szCs w:val="24"/>
          <w:lang w:eastAsia="en-GB"/>
        </w:rPr>
        <w:t>%</w:t>
      </w:r>
      <w:r w:rsidR="008B2191">
        <w:rPr>
          <w:rFonts w:ascii="Bembo Std" w:hAnsi="Bembo Std"/>
          <w:bCs/>
          <w:iCs/>
          <w:noProof/>
          <w:color w:val="000000"/>
          <w:sz w:val="24"/>
          <w:szCs w:val="24"/>
          <w:lang w:eastAsia="en-GB"/>
        </w:rPr>
        <w:t xml:space="preserve"> respectively.</w:t>
      </w:r>
      <w:r w:rsidR="000815EB" w:rsidRPr="005C7E3D">
        <w:rPr>
          <w:rFonts w:ascii="Bembo Std" w:hAnsi="Bembo Std"/>
          <w:bCs/>
          <w:iCs/>
          <w:noProof/>
          <w:color w:val="000000"/>
          <w:sz w:val="24"/>
          <w:szCs w:val="24"/>
          <w:lang w:eastAsia="en-GB"/>
        </w:rPr>
        <w:t xml:space="preserve"> </w:t>
      </w:r>
      <w:r w:rsidR="00A55151" w:rsidRPr="005C7E3D">
        <w:rPr>
          <w:rFonts w:ascii="Bembo Std" w:hAnsi="Bembo Std"/>
          <w:bCs/>
          <w:iCs/>
          <w:noProof/>
          <w:color w:val="000000"/>
          <w:sz w:val="24"/>
          <w:szCs w:val="24"/>
          <w:lang w:eastAsia="en-GB"/>
        </w:rPr>
        <w:t>As has been mentioned before,</w:t>
      </w:r>
      <w:r w:rsidR="00E16424" w:rsidRPr="005C7E3D">
        <w:rPr>
          <w:rFonts w:ascii="Bembo Std" w:hAnsi="Bembo Std"/>
          <w:bCs/>
          <w:iCs/>
          <w:noProof/>
          <w:color w:val="000000"/>
          <w:sz w:val="24"/>
          <w:szCs w:val="24"/>
          <w:lang w:eastAsia="en-GB"/>
        </w:rPr>
        <w:t xml:space="preserve"> </w:t>
      </w:r>
      <w:r w:rsidR="008867FD">
        <w:rPr>
          <w:rFonts w:ascii="Bembo Std" w:hAnsi="Bembo Std"/>
          <w:bCs/>
          <w:iCs/>
          <w:noProof/>
          <w:color w:val="000000"/>
          <w:sz w:val="24"/>
          <w:szCs w:val="24"/>
          <w:lang w:eastAsia="en-GB"/>
        </w:rPr>
        <w:t>these are</w:t>
      </w:r>
      <w:r w:rsidR="00984435" w:rsidRPr="005C7E3D">
        <w:rPr>
          <w:rFonts w:ascii="Bembo Std" w:hAnsi="Bembo Std"/>
          <w:bCs/>
          <w:iCs/>
          <w:noProof/>
          <w:color w:val="000000"/>
          <w:sz w:val="24"/>
          <w:szCs w:val="24"/>
          <w:lang w:eastAsia="en-GB"/>
        </w:rPr>
        <w:t xml:space="preserve"> </w:t>
      </w:r>
      <w:r w:rsidR="000B1BEF" w:rsidRPr="005C7E3D">
        <w:rPr>
          <w:rFonts w:ascii="Bembo Std" w:hAnsi="Bembo Std"/>
          <w:bCs/>
          <w:iCs/>
          <w:noProof/>
          <w:color w:val="000000"/>
          <w:sz w:val="24"/>
          <w:szCs w:val="24"/>
          <w:lang w:eastAsia="en-GB"/>
        </w:rPr>
        <w:t xml:space="preserve">"once in a decade" economic shock, </w:t>
      </w:r>
      <w:r w:rsidR="008867FD">
        <w:rPr>
          <w:rFonts w:ascii="Bembo Std" w:hAnsi="Bembo Std"/>
          <w:bCs/>
          <w:iCs/>
          <w:noProof/>
          <w:color w:val="000000"/>
          <w:sz w:val="24"/>
          <w:szCs w:val="24"/>
          <w:lang w:eastAsia="en-GB"/>
        </w:rPr>
        <w:t>highly</w:t>
      </w:r>
      <w:r w:rsidR="000B1BEF" w:rsidRPr="005C7E3D">
        <w:rPr>
          <w:rFonts w:ascii="Bembo Std" w:hAnsi="Bembo Std"/>
          <w:bCs/>
          <w:iCs/>
          <w:noProof/>
          <w:color w:val="000000"/>
          <w:sz w:val="24"/>
          <w:szCs w:val="24"/>
          <w:lang w:eastAsia="en-GB"/>
        </w:rPr>
        <w:t xml:space="preserve"> unlikely to reoccur in the near term.</w:t>
      </w:r>
    </w:p>
    <w:p w14:paraId="2F5D0803" w14:textId="77777777" w:rsidR="002726DD" w:rsidRPr="002726DD" w:rsidRDefault="002726DD" w:rsidP="002726DD">
      <w:pPr>
        <w:pStyle w:val="ListParagraph"/>
        <w:jc w:val="both"/>
        <w:rPr>
          <w:rFonts w:ascii="Bembo Std" w:hAnsi="Bembo Std"/>
          <w:bCs/>
          <w:iCs/>
          <w:noProof/>
          <w:color w:val="000000"/>
          <w:sz w:val="24"/>
          <w:szCs w:val="24"/>
          <w:lang w:eastAsia="en-GB"/>
        </w:rPr>
      </w:pPr>
    </w:p>
    <w:p w14:paraId="1C74114C" w14:textId="35B492F2" w:rsidR="00B51528" w:rsidRPr="005A008B" w:rsidRDefault="00B51528" w:rsidP="002726DD">
      <w:pPr>
        <w:pStyle w:val="ListParagraph"/>
        <w:numPr>
          <w:ilvl w:val="0"/>
          <w:numId w:val="2"/>
        </w:numPr>
        <w:jc w:val="both"/>
        <w:rPr>
          <w:rFonts w:ascii="Bembo Std" w:hAnsi="Bembo Std"/>
          <w:bCs/>
          <w:iCs/>
          <w:noProof/>
          <w:color w:val="000000"/>
          <w:sz w:val="24"/>
          <w:szCs w:val="24"/>
          <w:lang w:eastAsia="en-GB"/>
        </w:rPr>
      </w:pPr>
      <w:r w:rsidRPr="002726DD">
        <w:rPr>
          <w:rFonts w:ascii="Bembo Std" w:hAnsi="Bembo Std"/>
          <w:bCs/>
          <w:iCs/>
          <w:noProof/>
          <w:color w:val="000000"/>
          <w:sz w:val="24"/>
          <w:szCs w:val="24"/>
          <w:lang w:eastAsia="en-GB"/>
        </w:rPr>
        <w:t>The third scenario</w:t>
      </w:r>
      <w:r w:rsidR="0036167E">
        <w:rPr>
          <w:rFonts w:ascii="Bembo Std" w:hAnsi="Bembo Std"/>
          <w:bCs/>
          <w:iCs/>
          <w:noProof/>
          <w:color w:val="000000"/>
          <w:sz w:val="24"/>
          <w:szCs w:val="24"/>
          <w:lang w:eastAsia="en-GB"/>
        </w:rPr>
        <w:t xml:space="preserve"> </w:t>
      </w:r>
      <w:r w:rsidR="00E21CDB">
        <w:rPr>
          <w:rFonts w:ascii="Bembo Std" w:hAnsi="Bembo Std"/>
          <w:bCs/>
          <w:iCs/>
          <w:noProof/>
          <w:color w:val="000000"/>
          <w:sz w:val="24"/>
          <w:szCs w:val="24"/>
          <w:lang w:eastAsia="en-GB"/>
        </w:rPr>
        <w:t>is</w:t>
      </w:r>
      <w:r w:rsidRPr="002726DD">
        <w:rPr>
          <w:rFonts w:ascii="Bembo Std" w:hAnsi="Bembo Std"/>
          <w:bCs/>
          <w:iCs/>
          <w:noProof/>
          <w:color w:val="000000"/>
          <w:sz w:val="24"/>
          <w:szCs w:val="24"/>
          <w:lang w:eastAsia="en-GB"/>
        </w:rPr>
        <w:t xml:space="preserve"> “All interest rates +/-200bps 9m pivot”</w:t>
      </w:r>
      <w:r w:rsidR="00E21CDB">
        <w:rPr>
          <w:rFonts w:ascii="Bembo Std" w:hAnsi="Bembo Std"/>
          <w:bCs/>
          <w:iCs/>
          <w:noProof/>
          <w:color w:val="000000"/>
          <w:sz w:val="24"/>
          <w:szCs w:val="24"/>
          <w:lang w:eastAsia="en-GB"/>
        </w:rPr>
        <w:t>,</w:t>
      </w:r>
      <w:r w:rsidRPr="002726DD">
        <w:rPr>
          <w:rFonts w:ascii="Bembo Std" w:hAnsi="Bembo Std"/>
          <w:bCs/>
          <w:iCs/>
          <w:noProof/>
          <w:color w:val="000000"/>
          <w:sz w:val="24"/>
          <w:szCs w:val="24"/>
          <w:lang w:eastAsia="en-GB"/>
        </w:rPr>
        <w:t xml:space="preserve"> </w:t>
      </w:r>
      <w:r w:rsidR="00E21CDB">
        <w:rPr>
          <w:rFonts w:ascii="Bembo Std" w:hAnsi="Bembo Std"/>
          <w:bCs/>
          <w:iCs/>
          <w:noProof/>
          <w:color w:val="000000"/>
          <w:sz w:val="24"/>
          <w:szCs w:val="24"/>
          <w:lang w:eastAsia="en-GB"/>
        </w:rPr>
        <w:t>this</w:t>
      </w:r>
      <w:r w:rsidRPr="002726DD">
        <w:rPr>
          <w:rFonts w:ascii="Bembo Std" w:hAnsi="Bembo Std"/>
          <w:bCs/>
          <w:iCs/>
          <w:noProof/>
          <w:color w:val="000000"/>
          <w:sz w:val="24"/>
          <w:szCs w:val="24"/>
          <w:lang w:eastAsia="en-GB"/>
        </w:rPr>
        <w:t xml:space="preserve"> scenario</w:t>
      </w:r>
      <w:r w:rsidR="00E21CDB">
        <w:rPr>
          <w:rFonts w:ascii="Bembo Std" w:hAnsi="Bembo Std"/>
          <w:bCs/>
          <w:iCs/>
          <w:noProof/>
          <w:color w:val="000000"/>
          <w:sz w:val="24"/>
          <w:szCs w:val="24"/>
          <w:lang w:eastAsia="en-GB"/>
        </w:rPr>
        <w:t xml:space="preserve"> </w:t>
      </w:r>
      <w:r w:rsidRPr="002726DD">
        <w:rPr>
          <w:rFonts w:ascii="Bembo Std" w:hAnsi="Bembo Std"/>
          <w:bCs/>
          <w:iCs/>
          <w:noProof/>
          <w:color w:val="000000"/>
          <w:sz w:val="24"/>
          <w:szCs w:val="24"/>
          <w:lang w:eastAsia="en-GB"/>
        </w:rPr>
        <w:t>would not usually lead to an excess in the LVNAV collar, but in this Report, if the scenarios had occurred and CCLA not taken any defensive measures, then the Fund could have marginally broken the lower collar boundary.</w:t>
      </w:r>
      <w:r w:rsidR="00F33D98" w:rsidRPr="002726DD">
        <w:rPr>
          <w:rFonts w:ascii="Bembo Std" w:hAnsi="Bembo Std"/>
          <w:bCs/>
          <w:iCs/>
          <w:noProof/>
          <w:color w:val="000000"/>
          <w:sz w:val="24"/>
          <w:szCs w:val="24"/>
          <w:lang w:eastAsia="en-GB"/>
        </w:rPr>
        <w:t xml:space="preserve"> </w:t>
      </w:r>
      <w:r w:rsidR="00D01D21" w:rsidRPr="002726DD">
        <w:rPr>
          <w:rFonts w:ascii="Bembo Std" w:hAnsi="Bembo Std"/>
          <w:bCs/>
          <w:iCs/>
          <w:noProof/>
          <w:color w:val="000000"/>
          <w:sz w:val="24"/>
          <w:szCs w:val="24"/>
          <w:lang w:eastAsia="en-GB"/>
        </w:rPr>
        <w:t>T</w:t>
      </w:r>
      <w:r w:rsidR="00453DA8" w:rsidRPr="002726DD">
        <w:rPr>
          <w:rFonts w:ascii="Bembo Std" w:hAnsi="Bembo Std"/>
          <w:bCs/>
          <w:iCs/>
          <w:noProof/>
          <w:color w:val="000000"/>
          <w:sz w:val="24"/>
          <w:szCs w:val="24"/>
          <w:lang w:eastAsia="en-GB"/>
        </w:rPr>
        <w:t>h</w:t>
      </w:r>
      <w:r w:rsidR="00D52F8E">
        <w:rPr>
          <w:rFonts w:ascii="Bembo Std" w:hAnsi="Bembo Std"/>
          <w:bCs/>
          <w:iCs/>
          <w:noProof/>
          <w:color w:val="000000"/>
          <w:sz w:val="24"/>
          <w:szCs w:val="24"/>
          <w:lang w:eastAsia="en-GB"/>
        </w:rPr>
        <w:t>is</w:t>
      </w:r>
      <w:r w:rsidR="00A71383" w:rsidRPr="002726DD">
        <w:rPr>
          <w:rFonts w:ascii="Bembo Std" w:hAnsi="Bembo Std"/>
          <w:bCs/>
          <w:iCs/>
          <w:noProof/>
          <w:color w:val="000000"/>
          <w:sz w:val="24"/>
          <w:szCs w:val="24"/>
          <w:lang w:eastAsia="en-GB"/>
        </w:rPr>
        <w:t xml:space="preserve"> </w:t>
      </w:r>
      <w:r w:rsidR="00F34DCE" w:rsidRPr="002726DD">
        <w:rPr>
          <w:rFonts w:ascii="Bembo Std" w:hAnsi="Bembo Std"/>
          <w:bCs/>
          <w:iCs/>
          <w:noProof/>
          <w:color w:val="000000"/>
          <w:sz w:val="24"/>
          <w:szCs w:val="24"/>
          <w:lang w:eastAsia="en-GB"/>
        </w:rPr>
        <w:t>scenario</w:t>
      </w:r>
      <w:r w:rsidR="007D30EC" w:rsidRPr="002726DD">
        <w:rPr>
          <w:rFonts w:ascii="Bembo Std" w:hAnsi="Bembo Std"/>
          <w:bCs/>
          <w:iCs/>
          <w:noProof/>
          <w:color w:val="000000"/>
          <w:sz w:val="24"/>
          <w:szCs w:val="24"/>
          <w:lang w:eastAsia="en-GB"/>
        </w:rPr>
        <w:t>’</w:t>
      </w:r>
      <w:r w:rsidR="00E21CDB">
        <w:rPr>
          <w:rFonts w:ascii="Bembo Std" w:hAnsi="Bembo Std"/>
          <w:bCs/>
          <w:iCs/>
          <w:noProof/>
          <w:color w:val="000000"/>
          <w:sz w:val="24"/>
          <w:szCs w:val="24"/>
          <w:lang w:eastAsia="en-GB"/>
        </w:rPr>
        <w:t>s</w:t>
      </w:r>
      <w:r w:rsidR="00F34DCE" w:rsidRPr="002726DD">
        <w:rPr>
          <w:rFonts w:ascii="Bembo Std" w:hAnsi="Bembo Std"/>
          <w:bCs/>
          <w:iCs/>
          <w:noProof/>
          <w:color w:val="000000"/>
          <w:sz w:val="24"/>
          <w:szCs w:val="24"/>
          <w:lang w:eastAsia="en-GB"/>
        </w:rPr>
        <w:t xml:space="preserve"> result</w:t>
      </w:r>
      <w:r w:rsidR="007D30EC" w:rsidRPr="002726DD">
        <w:rPr>
          <w:rFonts w:ascii="Bembo Std" w:hAnsi="Bembo Std"/>
          <w:bCs/>
          <w:iCs/>
          <w:noProof/>
          <w:color w:val="000000"/>
          <w:sz w:val="24"/>
          <w:szCs w:val="24"/>
          <w:lang w:eastAsia="en-GB"/>
        </w:rPr>
        <w:t>s</w:t>
      </w:r>
      <w:r w:rsidR="008400A5" w:rsidRPr="002726DD">
        <w:rPr>
          <w:rFonts w:ascii="Bembo Std" w:hAnsi="Bembo Std"/>
          <w:bCs/>
          <w:iCs/>
          <w:noProof/>
          <w:color w:val="000000"/>
          <w:sz w:val="24"/>
          <w:szCs w:val="24"/>
          <w:lang w:eastAsia="en-GB"/>
        </w:rPr>
        <w:t xml:space="preserve"> </w:t>
      </w:r>
      <w:r w:rsidR="00450D29" w:rsidRPr="002726DD">
        <w:rPr>
          <w:rFonts w:ascii="Bembo Std" w:hAnsi="Bembo Std"/>
          <w:bCs/>
          <w:iCs/>
          <w:noProof/>
          <w:color w:val="000000"/>
          <w:sz w:val="24"/>
          <w:szCs w:val="24"/>
          <w:lang w:eastAsia="en-GB"/>
        </w:rPr>
        <w:t>can be</w:t>
      </w:r>
      <w:r w:rsidR="00F34DCE" w:rsidRPr="002726DD">
        <w:rPr>
          <w:rFonts w:ascii="Bembo Std" w:hAnsi="Bembo Std"/>
          <w:bCs/>
          <w:iCs/>
          <w:noProof/>
          <w:color w:val="000000"/>
          <w:sz w:val="24"/>
          <w:szCs w:val="24"/>
          <w:lang w:eastAsia="en-GB"/>
        </w:rPr>
        <w:t xml:space="preserve"> explained with </w:t>
      </w:r>
      <w:r w:rsidR="007D30EC" w:rsidRPr="002726DD">
        <w:rPr>
          <w:rFonts w:ascii="Bembo Std" w:hAnsi="Bembo Std"/>
          <w:bCs/>
          <w:iCs/>
          <w:noProof/>
          <w:color w:val="000000"/>
          <w:sz w:val="24"/>
          <w:szCs w:val="24"/>
          <w:lang w:eastAsia="en-GB"/>
        </w:rPr>
        <w:t xml:space="preserve">the </w:t>
      </w:r>
      <w:r w:rsidR="00DB6053">
        <w:rPr>
          <w:rFonts w:ascii="Bembo Std" w:hAnsi="Bembo Std"/>
          <w:bCs/>
          <w:iCs/>
          <w:noProof/>
          <w:color w:val="000000"/>
          <w:sz w:val="24"/>
          <w:szCs w:val="24"/>
          <w:lang w:eastAsia="en-GB"/>
        </w:rPr>
        <w:t xml:space="preserve">current </w:t>
      </w:r>
      <w:r w:rsidR="00D01D21" w:rsidRPr="002726DD">
        <w:rPr>
          <w:rFonts w:ascii="Bembo Std" w:hAnsi="Bembo Std"/>
          <w:bCs/>
          <w:iCs/>
          <w:noProof/>
          <w:color w:val="000000"/>
          <w:sz w:val="24"/>
          <w:szCs w:val="24"/>
          <w:lang w:eastAsia="en-GB"/>
        </w:rPr>
        <w:t xml:space="preserve">context </w:t>
      </w:r>
      <w:r w:rsidR="00E21CDB">
        <w:rPr>
          <w:rFonts w:ascii="Bembo Std" w:hAnsi="Bembo Std"/>
          <w:bCs/>
          <w:iCs/>
          <w:noProof/>
          <w:color w:val="000000"/>
          <w:sz w:val="24"/>
          <w:szCs w:val="24"/>
          <w:lang w:eastAsia="en-GB"/>
        </w:rPr>
        <w:t>of</w:t>
      </w:r>
      <w:r w:rsidR="00F60DD6" w:rsidRPr="008836E1">
        <w:rPr>
          <w:rFonts w:ascii="Bembo Std" w:hAnsi="Bembo Std"/>
          <w:bCs/>
          <w:iCs/>
          <w:noProof/>
          <w:color w:val="000000"/>
          <w:sz w:val="24"/>
          <w:szCs w:val="24"/>
          <w:lang w:eastAsia="en-GB"/>
        </w:rPr>
        <w:t xml:space="preserve"> repricing of interest rates</w:t>
      </w:r>
      <w:r w:rsidR="00DB6053">
        <w:rPr>
          <w:rFonts w:ascii="Bembo Std" w:hAnsi="Bembo Std"/>
          <w:bCs/>
          <w:iCs/>
          <w:noProof/>
          <w:color w:val="000000"/>
          <w:sz w:val="24"/>
          <w:szCs w:val="24"/>
          <w:lang w:eastAsia="en-GB"/>
        </w:rPr>
        <w:t>, which</w:t>
      </w:r>
      <w:r w:rsidR="00F60DD6" w:rsidRPr="008836E1">
        <w:rPr>
          <w:rFonts w:ascii="Bembo Std" w:hAnsi="Bembo Std"/>
          <w:bCs/>
          <w:iCs/>
          <w:noProof/>
          <w:color w:val="000000"/>
          <w:sz w:val="24"/>
          <w:szCs w:val="24"/>
          <w:lang w:eastAsia="en-GB"/>
        </w:rPr>
        <w:t xml:space="preserve"> </w:t>
      </w:r>
      <w:r w:rsidR="000635A3" w:rsidRPr="002726DD">
        <w:rPr>
          <w:rFonts w:ascii="Bembo Std" w:hAnsi="Bembo Std"/>
          <w:bCs/>
          <w:iCs/>
          <w:noProof/>
          <w:color w:val="000000"/>
          <w:sz w:val="24"/>
          <w:szCs w:val="24"/>
          <w:lang w:eastAsia="en-GB"/>
        </w:rPr>
        <w:t xml:space="preserve">has </w:t>
      </w:r>
      <w:r w:rsidR="00F60DD6" w:rsidRPr="008836E1">
        <w:rPr>
          <w:rFonts w:ascii="Bembo Std" w:hAnsi="Bembo Std"/>
          <w:bCs/>
          <w:iCs/>
          <w:noProof/>
          <w:color w:val="000000"/>
          <w:sz w:val="24"/>
          <w:szCs w:val="24"/>
          <w:lang w:eastAsia="en-GB"/>
        </w:rPr>
        <w:t xml:space="preserve">led to a severe steepening of the yield curve. The portfolio’s longer tenure holdings, which were generally purchased in the </w:t>
      </w:r>
      <w:r w:rsidR="00EB5A12">
        <w:rPr>
          <w:rFonts w:ascii="Bembo Std" w:hAnsi="Bembo Std"/>
          <w:bCs/>
          <w:iCs/>
          <w:noProof/>
          <w:color w:val="000000"/>
          <w:sz w:val="24"/>
          <w:szCs w:val="24"/>
          <w:lang w:eastAsia="en-GB"/>
        </w:rPr>
        <w:t>second</w:t>
      </w:r>
      <w:r w:rsidR="00F60DD6" w:rsidRPr="008836E1">
        <w:rPr>
          <w:rFonts w:ascii="Bembo Std" w:hAnsi="Bembo Std"/>
          <w:bCs/>
          <w:iCs/>
          <w:noProof/>
          <w:color w:val="000000"/>
          <w:sz w:val="24"/>
          <w:szCs w:val="24"/>
          <w:lang w:eastAsia="en-GB"/>
        </w:rPr>
        <w:t xml:space="preserve"> half of last year</w:t>
      </w:r>
      <w:r w:rsidR="00114C9A" w:rsidRPr="002726DD">
        <w:rPr>
          <w:rFonts w:ascii="Bembo Std" w:hAnsi="Bembo Std"/>
          <w:bCs/>
          <w:iCs/>
          <w:noProof/>
          <w:color w:val="000000"/>
          <w:sz w:val="24"/>
          <w:szCs w:val="24"/>
          <w:lang w:eastAsia="en-GB"/>
        </w:rPr>
        <w:t xml:space="preserve"> (featuring</w:t>
      </w:r>
      <w:r w:rsidR="00F34B0A" w:rsidRPr="002726DD">
        <w:rPr>
          <w:rFonts w:ascii="Bembo Std" w:hAnsi="Bembo Std"/>
          <w:bCs/>
          <w:iCs/>
          <w:noProof/>
          <w:color w:val="000000"/>
          <w:sz w:val="24"/>
          <w:szCs w:val="24"/>
          <w:lang w:eastAsia="en-GB"/>
        </w:rPr>
        <w:t xml:space="preserve"> very</w:t>
      </w:r>
      <w:r w:rsidR="00114C9A" w:rsidRPr="002726DD">
        <w:rPr>
          <w:rFonts w:ascii="Bembo Std" w:hAnsi="Bembo Std"/>
          <w:bCs/>
          <w:iCs/>
          <w:noProof/>
          <w:color w:val="000000"/>
          <w:sz w:val="24"/>
          <w:szCs w:val="24"/>
          <w:lang w:eastAsia="en-GB"/>
        </w:rPr>
        <w:t xml:space="preserve"> low </w:t>
      </w:r>
      <w:r w:rsidR="00F66CC4" w:rsidRPr="002726DD">
        <w:rPr>
          <w:rFonts w:ascii="Bembo Std" w:hAnsi="Bembo Std"/>
          <w:bCs/>
          <w:iCs/>
          <w:noProof/>
          <w:color w:val="000000"/>
          <w:sz w:val="24"/>
          <w:szCs w:val="24"/>
          <w:lang w:eastAsia="en-GB"/>
        </w:rPr>
        <w:t>coupons)</w:t>
      </w:r>
      <w:r w:rsidR="00F60DD6" w:rsidRPr="008836E1">
        <w:rPr>
          <w:rFonts w:ascii="Bembo Std" w:hAnsi="Bembo Std"/>
          <w:bCs/>
          <w:iCs/>
          <w:noProof/>
          <w:color w:val="000000"/>
          <w:sz w:val="24"/>
          <w:szCs w:val="24"/>
          <w:lang w:eastAsia="en-GB"/>
        </w:rPr>
        <w:t xml:space="preserve">, are more sensitive to this </w:t>
      </w:r>
      <w:r w:rsidR="00F60DD6" w:rsidRPr="002726DD">
        <w:rPr>
          <w:rFonts w:ascii="Bembo Std" w:hAnsi="Bembo Std"/>
          <w:bCs/>
          <w:iCs/>
          <w:noProof/>
          <w:color w:val="000000"/>
          <w:sz w:val="24"/>
          <w:szCs w:val="24"/>
          <w:lang w:eastAsia="en-GB"/>
        </w:rPr>
        <w:t xml:space="preserve">type of </w:t>
      </w:r>
      <w:r w:rsidR="00F60DD6" w:rsidRPr="008836E1">
        <w:rPr>
          <w:rFonts w:ascii="Bembo Std" w:hAnsi="Bembo Std"/>
          <w:bCs/>
          <w:iCs/>
          <w:noProof/>
          <w:color w:val="000000"/>
          <w:sz w:val="24"/>
          <w:szCs w:val="24"/>
          <w:lang w:eastAsia="en-GB"/>
        </w:rPr>
        <w:t>repricing.</w:t>
      </w:r>
      <w:r w:rsidR="008836E1" w:rsidRPr="002726DD">
        <w:rPr>
          <w:rFonts w:ascii="Bembo Std" w:hAnsi="Bembo Std"/>
          <w:bCs/>
          <w:iCs/>
          <w:noProof/>
          <w:color w:val="000000"/>
          <w:sz w:val="24"/>
          <w:szCs w:val="24"/>
          <w:lang w:eastAsia="en-GB"/>
        </w:rPr>
        <w:t xml:space="preserve"> </w:t>
      </w:r>
      <w:r w:rsidRPr="002726DD">
        <w:rPr>
          <w:rFonts w:ascii="Bembo Std" w:hAnsi="Bembo Std"/>
          <w:bCs/>
          <w:iCs/>
          <w:noProof/>
          <w:color w:val="000000"/>
          <w:sz w:val="24"/>
          <w:szCs w:val="24"/>
          <w:lang w:eastAsia="en-GB"/>
        </w:rPr>
        <w:t>The portfolio managers have been monitoring</w:t>
      </w:r>
      <w:r w:rsidR="00455CD8" w:rsidRPr="002726DD">
        <w:rPr>
          <w:rFonts w:ascii="Bembo Std" w:hAnsi="Bembo Std"/>
          <w:bCs/>
          <w:iCs/>
          <w:noProof/>
          <w:color w:val="000000"/>
          <w:sz w:val="24"/>
          <w:szCs w:val="24"/>
          <w:lang w:eastAsia="en-GB"/>
        </w:rPr>
        <w:t xml:space="preserve"> </w:t>
      </w:r>
      <w:r w:rsidRPr="002726DD">
        <w:rPr>
          <w:rFonts w:ascii="Bembo Std" w:hAnsi="Bembo Std"/>
          <w:bCs/>
          <w:iCs/>
          <w:noProof/>
          <w:color w:val="000000"/>
          <w:sz w:val="24"/>
          <w:szCs w:val="24"/>
          <w:lang w:eastAsia="en-GB"/>
        </w:rPr>
        <w:t>carefully</w:t>
      </w:r>
      <w:r w:rsidR="00455CD8" w:rsidRPr="002726DD">
        <w:rPr>
          <w:rFonts w:ascii="Bembo Std" w:hAnsi="Bembo Std"/>
          <w:bCs/>
          <w:iCs/>
          <w:noProof/>
          <w:color w:val="000000"/>
          <w:sz w:val="24"/>
          <w:szCs w:val="24"/>
          <w:lang w:eastAsia="en-GB"/>
        </w:rPr>
        <w:t xml:space="preserve"> </w:t>
      </w:r>
      <w:r w:rsidRPr="002726DD">
        <w:rPr>
          <w:rFonts w:ascii="Bembo Std" w:hAnsi="Bembo Std"/>
          <w:bCs/>
          <w:iCs/>
          <w:noProof/>
          <w:color w:val="000000"/>
          <w:sz w:val="24"/>
          <w:szCs w:val="24"/>
          <w:lang w:eastAsia="en-GB"/>
        </w:rPr>
        <w:t>the</w:t>
      </w:r>
      <w:r w:rsidR="00455CD8" w:rsidRPr="002726DD">
        <w:rPr>
          <w:rFonts w:ascii="Bembo Std" w:hAnsi="Bembo Std"/>
          <w:bCs/>
          <w:iCs/>
          <w:noProof/>
          <w:color w:val="000000"/>
          <w:sz w:val="24"/>
          <w:szCs w:val="24"/>
          <w:lang w:eastAsia="en-GB"/>
        </w:rPr>
        <w:t xml:space="preserve"> </w:t>
      </w:r>
      <w:r w:rsidRPr="002726DD">
        <w:rPr>
          <w:rFonts w:ascii="Bembo Std" w:hAnsi="Bembo Std"/>
          <w:bCs/>
          <w:iCs/>
          <w:noProof/>
          <w:color w:val="000000"/>
          <w:sz w:val="24"/>
          <w:szCs w:val="24"/>
          <w:lang w:eastAsia="en-GB"/>
        </w:rPr>
        <w:t>severity of the Shadow NAV fall, and</w:t>
      </w:r>
      <w:r w:rsidR="00455CD8" w:rsidRPr="002726DD">
        <w:rPr>
          <w:rFonts w:ascii="Bembo Std" w:hAnsi="Bembo Std"/>
          <w:bCs/>
          <w:iCs/>
          <w:noProof/>
          <w:color w:val="000000"/>
          <w:sz w:val="24"/>
          <w:szCs w:val="24"/>
          <w:lang w:eastAsia="en-GB"/>
        </w:rPr>
        <w:t xml:space="preserve"> </w:t>
      </w:r>
      <w:r w:rsidRPr="002726DD">
        <w:rPr>
          <w:rFonts w:ascii="Bembo Std" w:hAnsi="Bembo Std"/>
          <w:bCs/>
          <w:iCs/>
          <w:noProof/>
          <w:color w:val="000000"/>
          <w:sz w:val="24"/>
          <w:szCs w:val="24"/>
          <w:lang w:eastAsia="en-GB"/>
        </w:rPr>
        <w:t>to help alleviate the negative impact,</w:t>
      </w:r>
      <w:r w:rsidR="00455CD8" w:rsidRPr="002726DD">
        <w:rPr>
          <w:rFonts w:ascii="Bembo Std" w:hAnsi="Bembo Std"/>
          <w:bCs/>
          <w:iCs/>
          <w:noProof/>
          <w:color w:val="000000"/>
          <w:sz w:val="24"/>
          <w:szCs w:val="24"/>
          <w:lang w:eastAsia="en-GB"/>
        </w:rPr>
        <w:t xml:space="preserve"> </w:t>
      </w:r>
      <w:r w:rsidRPr="002726DD">
        <w:rPr>
          <w:rFonts w:ascii="Bembo Std" w:hAnsi="Bembo Std"/>
          <w:bCs/>
          <w:iCs/>
          <w:noProof/>
          <w:color w:val="000000"/>
          <w:sz w:val="24"/>
          <w:szCs w:val="24"/>
          <w:lang w:eastAsia="en-GB"/>
        </w:rPr>
        <w:t>they have been reducing the Fund's WAM in the last few months. It is</w:t>
      </w:r>
      <w:r w:rsidR="00CB39EF" w:rsidRPr="002726DD">
        <w:rPr>
          <w:rFonts w:ascii="Bembo Std" w:hAnsi="Bembo Std"/>
          <w:bCs/>
          <w:iCs/>
          <w:noProof/>
          <w:color w:val="000000"/>
          <w:sz w:val="24"/>
          <w:szCs w:val="24"/>
          <w:lang w:eastAsia="en-GB"/>
        </w:rPr>
        <w:t xml:space="preserve"> </w:t>
      </w:r>
      <w:r w:rsidR="00FA51B7" w:rsidRPr="002726DD">
        <w:rPr>
          <w:rFonts w:ascii="Bembo Std" w:hAnsi="Bembo Std"/>
          <w:bCs/>
          <w:iCs/>
          <w:noProof/>
          <w:color w:val="000000"/>
          <w:sz w:val="24"/>
          <w:szCs w:val="24"/>
          <w:lang w:eastAsia="en-GB"/>
        </w:rPr>
        <w:t xml:space="preserve">thus </w:t>
      </w:r>
      <w:r w:rsidR="00CB39EF" w:rsidRPr="002726DD">
        <w:rPr>
          <w:rFonts w:ascii="Bembo Std" w:hAnsi="Bembo Std"/>
          <w:bCs/>
          <w:iCs/>
          <w:noProof/>
          <w:color w:val="000000"/>
          <w:sz w:val="24"/>
          <w:szCs w:val="24"/>
          <w:lang w:eastAsia="en-GB"/>
        </w:rPr>
        <w:t>reasonably</w:t>
      </w:r>
      <w:r w:rsidRPr="002726DD">
        <w:rPr>
          <w:rFonts w:ascii="Bembo Std" w:hAnsi="Bembo Std"/>
          <w:bCs/>
          <w:iCs/>
          <w:noProof/>
          <w:color w:val="000000"/>
          <w:sz w:val="24"/>
          <w:szCs w:val="24"/>
          <w:lang w:eastAsia="en-GB"/>
        </w:rPr>
        <w:t xml:space="preserve"> expected that the</w:t>
      </w:r>
      <w:r w:rsidR="00455CD8" w:rsidRPr="002726DD">
        <w:rPr>
          <w:rFonts w:ascii="Bembo Std" w:hAnsi="Bembo Std"/>
          <w:bCs/>
          <w:iCs/>
          <w:noProof/>
          <w:color w:val="000000"/>
          <w:sz w:val="24"/>
          <w:szCs w:val="24"/>
          <w:lang w:eastAsia="en-GB"/>
        </w:rPr>
        <w:t xml:space="preserve"> </w:t>
      </w:r>
      <w:r w:rsidRPr="002726DD">
        <w:rPr>
          <w:rFonts w:ascii="Bembo Std" w:hAnsi="Bembo Std"/>
          <w:bCs/>
          <w:iCs/>
          <w:noProof/>
          <w:color w:val="000000"/>
          <w:sz w:val="24"/>
          <w:szCs w:val="24"/>
          <w:lang w:eastAsia="en-GB"/>
        </w:rPr>
        <w:t>Fund's Shadow NAV will revert closer to Par, unless there is a significant change in the Bank of England's monetary policy.</w:t>
      </w:r>
      <w:r w:rsidR="00AA5578" w:rsidRPr="002726DD">
        <w:rPr>
          <w:rFonts w:ascii="Bembo Std" w:hAnsi="Bembo Std"/>
          <w:bCs/>
          <w:iCs/>
          <w:noProof/>
          <w:color w:val="000000"/>
          <w:sz w:val="24"/>
          <w:szCs w:val="24"/>
          <w:lang w:eastAsia="en-GB"/>
        </w:rPr>
        <w:t xml:space="preserve"> </w:t>
      </w:r>
      <w:r w:rsidR="00EB5A12">
        <w:rPr>
          <w:rFonts w:ascii="Bembo Std" w:hAnsi="Bembo Std"/>
          <w:bCs/>
          <w:iCs/>
          <w:noProof/>
          <w:color w:val="000000"/>
          <w:sz w:val="24"/>
          <w:szCs w:val="24"/>
          <w:lang w:eastAsia="en-GB"/>
        </w:rPr>
        <w:t>Taking into consideration</w:t>
      </w:r>
      <w:r w:rsidR="00454147">
        <w:rPr>
          <w:rFonts w:ascii="Bembo Std" w:hAnsi="Bembo Std"/>
          <w:bCs/>
          <w:iCs/>
          <w:noProof/>
          <w:color w:val="000000"/>
          <w:sz w:val="24"/>
          <w:szCs w:val="24"/>
          <w:lang w:eastAsia="en-GB"/>
        </w:rPr>
        <w:t xml:space="preserve"> the stress tests results in the</w:t>
      </w:r>
      <w:r w:rsidR="00EB5A12">
        <w:rPr>
          <w:rFonts w:ascii="Bembo Std" w:hAnsi="Bembo Std"/>
          <w:bCs/>
          <w:iCs/>
          <w:noProof/>
          <w:color w:val="000000"/>
          <w:sz w:val="24"/>
          <w:szCs w:val="24"/>
          <w:lang w:eastAsia="en-GB"/>
        </w:rPr>
        <w:t xml:space="preserve"> above</w:t>
      </w:r>
      <w:r w:rsidR="00454147">
        <w:rPr>
          <w:rFonts w:ascii="Bembo Std" w:hAnsi="Bembo Std"/>
          <w:bCs/>
          <w:iCs/>
          <w:noProof/>
          <w:color w:val="000000"/>
          <w:sz w:val="24"/>
          <w:szCs w:val="24"/>
          <w:lang w:eastAsia="en-GB"/>
        </w:rPr>
        <w:t xml:space="preserve"> context </w:t>
      </w:r>
      <w:r w:rsidR="004E679D">
        <w:rPr>
          <w:rFonts w:ascii="Bembo Std" w:hAnsi="Bembo Std"/>
          <w:bCs/>
          <w:iCs/>
          <w:noProof/>
          <w:color w:val="000000"/>
          <w:sz w:val="24"/>
          <w:szCs w:val="24"/>
          <w:lang w:eastAsia="en-GB"/>
        </w:rPr>
        <w:t xml:space="preserve">and </w:t>
      </w:r>
      <w:r w:rsidR="00454147">
        <w:rPr>
          <w:rFonts w:ascii="Bembo Std" w:hAnsi="Bembo Std"/>
          <w:bCs/>
          <w:iCs/>
          <w:noProof/>
          <w:color w:val="000000"/>
          <w:sz w:val="24"/>
          <w:szCs w:val="24"/>
          <w:lang w:eastAsia="en-GB"/>
        </w:rPr>
        <w:t>together with the actions undertaken within the Fund,</w:t>
      </w:r>
      <w:r w:rsidR="00EB5A12">
        <w:rPr>
          <w:rFonts w:ascii="Bembo Std" w:hAnsi="Bembo Std"/>
          <w:bCs/>
          <w:iCs/>
          <w:noProof/>
          <w:color w:val="000000"/>
          <w:sz w:val="24"/>
          <w:szCs w:val="24"/>
          <w:lang w:eastAsia="en-GB"/>
        </w:rPr>
        <w:t xml:space="preserve"> there are no concerns</w:t>
      </w:r>
      <w:r w:rsidR="00454147">
        <w:rPr>
          <w:rFonts w:ascii="Bembo Std" w:hAnsi="Bembo Std"/>
          <w:bCs/>
          <w:iCs/>
          <w:noProof/>
          <w:color w:val="000000"/>
          <w:sz w:val="24"/>
          <w:szCs w:val="24"/>
          <w:lang w:eastAsia="en-GB"/>
        </w:rPr>
        <w:t xml:space="preserve"> in regards of </w:t>
      </w:r>
      <w:r w:rsidR="00BF7F94">
        <w:rPr>
          <w:rFonts w:ascii="Bembo Std" w:hAnsi="Bembo Std"/>
          <w:bCs/>
          <w:iCs/>
          <w:noProof/>
          <w:color w:val="000000"/>
          <w:sz w:val="24"/>
          <w:szCs w:val="24"/>
          <w:lang w:eastAsia="en-GB"/>
        </w:rPr>
        <w:t>this</w:t>
      </w:r>
      <w:r w:rsidR="00454147">
        <w:rPr>
          <w:rFonts w:ascii="Bembo Std" w:hAnsi="Bembo Std"/>
          <w:bCs/>
          <w:iCs/>
          <w:noProof/>
          <w:color w:val="000000"/>
          <w:sz w:val="24"/>
          <w:szCs w:val="24"/>
          <w:lang w:eastAsia="en-GB"/>
        </w:rPr>
        <w:t xml:space="preserve"> scenario</w:t>
      </w:r>
      <w:r w:rsidR="00BF7F94">
        <w:rPr>
          <w:rFonts w:ascii="Bembo Std" w:hAnsi="Bembo Std"/>
          <w:bCs/>
          <w:iCs/>
          <w:noProof/>
          <w:color w:val="000000"/>
          <w:sz w:val="24"/>
          <w:szCs w:val="24"/>
          <w:lang w:eastAsia="en-GB"/>
        </w:rPr>
        <w:t>.</w:t>
      </w:r>
    </w:p>
    <w:p w14:paraId="41527ED7" w14:textId="77777777" w:rsidR="00B51528" w:rsidRDefault="00B51528" w:rsidP="00B91526">
      <w:pPr>
        <w:pStyle w:val="ListParagraph"/>
        <w:jc w:val="both"/>
        <w:rPr>
          <w:rFonts w:ascii="Bembo Std" w:hAnsi="Bembo Std"/>
          <w:bCs/>
          <w:iCs/>
          <w:noProof/>
          <w:color w:val="000000"/>
          <w:sz w:val="24"/>
          <w:szCs w:val="24"/>
          <w:lang w:eastAsia="en-GB"/>
        </w:rPr>
      </w:pPr>
    </w:p>
    <w:p w14:paraId="05E748E7" w14:textId="5F0D88E2" w:rsidR="00442019" w:rsidRPr="002726DD" w:rsidRDefault="00A74EEB" w:rsidP="002726DD">
      <w:pPr>
        <w:pStyle w:val="ListParagraph"/>
        <w:numPr>
          <w:ilvl w:val="0"/>
          <w:numId w:val="2"/>
        </w:numPr>
        <w:jc w:val="both"/>
        <w:rPr>
          <w:rFonts w:ascii="Bembo Std" w:hAnsi="Bembo Std"/>
          <w:bCs/>
          <w:iCs/>
          <w:noProof/>
          <w:color w:val="000000"/>
          <w:sz w:val="24"/>
          <w:szCs w:val="24"/>
          <w:lang w:eastAsia="en-GB"/>
        </w:rPr>
      </w:pPr>
      <w:r>
        <w:rPr>
          <w:rFonts w:ascii="Bembo Std" w:hAnsi="Bembo Std"/>
          <w:bCs/>
          <w:iCs/>
          <w:noProof/>
          <w:color w:val="000000"/>
          <w:sz w:val="24"/>
          <w:szCs w:val="24"/>
          <w:lang w:eastAsia="en-GB"/>
        </w:rPr>
        <w:t xml:space="preserve">The </w:t>
      </w:r>
      <w:r w:rsidR="00930A23">
        <w:rPr>
          <w:rFonts w:ascii="Bembo Std" w:hAnsi="Bembo Std"/>
          <w:bCs/>
          <w:iCs/>
          <w:noProof/>
          <w:color w:val="000000"/>
          <w:sz w:val="24"/>
          <w:szCs w:val="24"/>
          <w:lang w:eastAsia="en-GB"/>
        </w:rPr>
        <w:t>fourth</w:t>
      </w:r>
      <w:r>
        <w:rPr>
          <w:rFonts w:ascii="Bembo Std" w:hAnsi="Bembo Std"/>
          <w:bCs/>
          <w:iCs/>
          <w:noProof/>
          <w:color w:val="000000"/>
          <w:sz w:val="24"/>
          <w:szCs w:val="24"/>
          <w:lang w:eastAsia="en-GB"/>
        </w:rPr>
        <w:t xml:space="preserve"> scenario which would break the Fund’s 20 basis point collar is</w:t>
      </w:r>
      <w:r w:rsidR="000B1BEF" w:rsidRPr="005C7E3D">
        <w:rPr>
          <w:rFonts w:ascii="Bembo Std" w:hAnsi="Bembo Std"/>
          <w:bCs/>
          <w:iCs/>
          <w:noProof/>
          <w:color w:val="000000"/>
          <w:sz w:val="24"/>
          <w:szCs w:val="24"/>
          <w:lang w:eastAsia="en-GB"/>
        </w:rPr>
        <w:t xml:space="preserve"> “All Credit Spread Shocks: All Tenors”. This scenario assumes that credit spreads for </w:t>
      </w:r>
      <w:r w:rsidR="006E3D4E" w:rsidRPr="005C7E3D">
        <w:rPr>
          <w:rFonts w:ascii="Bembo Std" w:hAnsi="Bembo Std"/>
          <w:bCs/>
          <w:iCs/>
          <w:noProof/>
          <w:color w:val="000000"/>
          <w:sz w:val="24"/>
          <w:szCs w:val="24"/>
          <w:lang w:eastAsia="en-GB"/>
        </w:rPr>
        <w:t xml:space="preserve">corporate credit </w:t>
      </w:r>
      <w:r w:rsidR="00D33CC7" w:rsidRPr="005C7E3D">
        <w:rPr>
          <w:rFonts w:ascii="Bembo Std" w:hAnsi="Bembo Std"/>
          <w:bCs/>
          <w:iCs/>
          <w:noProof/>
          <w:color w:val="000000"/>
          <w:sz w:val="24"/>
          <w:szCs w:val="24"/>
          <w:lang w:eastAsia="en-GB"/>
        </w:rPr>
        <w:t>at all tenors rise by 220 – 310 basis points</w:t>
      </w:r>
      <w:r w:rsidR="00190CDA" w:rsidRPr="005C7E3D">
        <w:rPr>
          <w:rFonts w:ascii="Bembo Std" w:hAnsi="Bembo Std"/>
          <w:bCs/>
          <w:iCs/>
          <w:noProof/>
          <w:color w:val="000000"/>
          <w:sz w:val="24"/>
          <w:szCs w:val="24"/>
          <w:lang w:eastAsia="en-GB"/>
        </w:rPr>
        <w:t xml:space="preserve"> depending on its credit rating</w:t>
      </w:r>
      <w:r w:rsidR="00D33CC7" w:rsidRPr="005C7E3D">
        <w:rPr>
          <w:rFonts w:ascii="Bembo Std" w:hAnsi="Bembo Std"/>
          <w:bCs/>
          <w:iCs/>
          <w:noProof/>
          <w:color w:val="000000"/>
          <w:sz w:val="24"/>
          <w:szCs w:val="24"/>
          <w:lang w:eastAsia="en-GB"/>
        </w:rPr>
        <w:t xml:space="preserve">. This stress test has been </w:t>
      </w:r>
      <w:r w:rsidR="00444133" w:rsidRPr="005C7E3D">
        <w:rPr>
          <w:rFonts w:ascii="Bembo Std" w:hAnsi="Bembo Std"/>
          <w:bCs/>
          <w:iCs/>
          <w:noProof/>
          <w:color w:val="000000"/>
          <w:sz w:val="24"/>
          <w:szCs w:val="24"/>
          <w:lang w:eastAsia="en-GB"/>
        </w:rPr>
        <w:t>updated significantly post COVID</w:t>
      </w:r>
      <w:r w:rsidR="00930A23">
        <w:rPr>
          <w:rFonts w:ascii="Bembo Std" w:hAnsi="Bembo Std"/>
          <w:bCs/>
          <w:iCs/>
          <w:noProof/>
          <w:color w:val="000000"/>
          <w:sz w:val="24"/>
          <w:szCs w:val="24"/>
          <w:lang w:eastAsia="en-GB"/>
        </w:rPr>
        <w:t xml:space="preserve"> making it more </w:t>
      </w:r>
      <w:r w:rsidR="00A71A59">
        <w:rPr>
          <w:rFonts w:ascii="Bembo Std" w:hAnsi="Bembo Std"/>
          <w:bCs/>
          <w:iCs/>
          <w:noProof/>
          <w:color w:val="000000"/>
          <w:sz w:val="24"/>
          <w:szCs w:val="24"/>
          <w:lang w:eastAsia="en-GB"/>
        </w:rPr>
        <w:t>severe</w:t>
      </w:r>
      <w:r w:rsidR="00E94A72" w:rsidRPr="005C7E3D">
        <w:rPr>
          <w:rFonts w:ascii="Bembo Std" w:hAnsi="Bembo Std"/>
          <w:bCs/>
          <w:iCs/>
          <w:noProof/>
          <w:color w:val="000000"/>
          <w:sz w:val="24"/>
          <w:szCs w:val="24"/>
          <w:lang w:eastAsia="en-GB"/>
        </w:rPr>
        <w:t xml:space="preserve">. As can be seen by the chart </w:t>
      </w:r>
      <w:r w:rsidR="00792A4A">
        <w:rPr>
          <w:rFonts w:ascii="Bembo Std" w:hAnsi="Bembo Std"/>
          <w:bCs/>
          <w:iCs/>
          <w:noProof/>
          <w:color w:val="000000"/>
          <w:sz w:val="24"/>
          <w:szCs w:val="24"/>
          <w:lang w:eastAsia="en-GB"/>
        </w:rPr>
        <w:t>on page 1</w:t>
      </w:r>
      <w:r w:rsidR="00E94A72" w:rsidRPr="005C7E3D">
        <w:rPr>
          <w:rFonts w:ascii="Bembo Std" w:hAnsi="Bembo Std"/>
          <w:bCs/>
          <w:iCs/>
          <w:noProof/>
          <w:color w:val="000000"/>
          <w:sz w:val="24"/>
          <w:szCs w:val="24"/>
          <w:lang w:eastAsia="en-GB"/>
        </w:rPr>
        <w:t>, this is the</w:t>
      </w:r>
      <w:r w:rsidR="00C81EF7" w:rsidRPr="005C7E3D">
        <w:rPr>
          <w:rFonts w:ascii="Bembo Std" w:hAnsi="Bembo Std"/>
          <w:bCs/>
          <w:iCs/>
          <w:noProof/>
          <w:color w:val="000000"/>
          <w:sz w:val="24"/>
          <w:szCs w:val="24"/>
          <w:lang w:eastAsia="en-GB"/>
        </w:rPr>
        <w:t xml:space="preserve"> most stri</w:t>
      </w:r>
      <w:r w:rsidR="005C7E3D">
        <w:rPr>
          <w:rFonts w:ascii="Bembo Std" w:hAnsi="Bembo Std"/>
          <w:bCs/>
          <w:iCs/>
          <w:noProof/>
          <w:color w:val="000000"/>
          <w:sz w:val="24"/>
          <w:szCs w:val="24"/>
          <w:lang w:eastAsia="en-GB"/>
        </w:rPr>
        <w:t>n</w:t>
      </w:r>
      <w:r w:rsidR="00C81EF7" w:rsidRPr="005C7E3D">
        <w:rPr>
          <w:rFonts w:ascii="Bembo Std" w:hAnsi="Bembo Std"/>
          <w:bCs/>
          <w:iCs/>
          <w:noProof/>
          <w:color w:val="000000"/>
          <w:sz w:val="24"/>
          <w:szCs w:val="24"/>
          <w:lang w:eastAsia="en-GB"/>
        </w:rPr>
        <w:t>gent scenario</w:t>
      </w:r>
      <w:r w:rsidR="00E94A72" w:rsidRPr="005C7E3D">
        <w:rPr>
          <w:rFonts w:ascii="Bembo Std" w:hAnsi="Bembo Std"/>
          <w:bCs/>
          <w:iCs/>
          <w:noProof/>
          <w:color w:val="000000"/>
          <w:sz w:val="24"/>
          <w:szCs w:val="24"/>
          <w:lang w:eastAsia="en-GB"/>
        </w:rPr>
        <w:t xml:space="preserve"> and would cause the Fund’s</w:t>
      </w:r>
      <w:r w:rsidR="00157ACE" w:rsidRPr="005C7E3D">
        <w:rPr>
          <w:rFonts w:ascii="Bembo Std" w:hAnsi="Bembo Std"/>
          <w:bCs/>
          <w:iCs/>
          <w:noProof/>
          <w:color w:val="000000"/>
          <w:sz w:val="24"/>
          <w:szCs w:val="24"/>
          <w:lang w:eastAsia="en-GB"/>
        </w:rPr>
        <w:t xml:space="preserve"> LVNAV</w:t>
      </w:r>
      <w:r w:rsidR="009E2A60" w:rsidRPr="005C7E3D">
        <w:rPr>
          <w:rFonts w:ascii="Bembo Std" w:hAnsi="Bembo Std"/>
          <w:bCs/>
          <w:iCs/>
          <w:noProof/>
          <w:color w:val="000000"/>
          <w:sz w:val="24"/>
          <w:szCs w:val="24"/>
          <w:lang w:eastAsia="en-GB"/>
        </w:rPr>
        <w:t xml:space="preserve"> </w:t>
      </w:r>
      <w:r w:rsidR="00E53DF3" w:rsidRPr="005C7E3D">
        <w:rPr>
          <w:rFonts w:ascii="Bembo Std" w:hAnsi="Bembo Std"/>
          <w:bCs/>
          <w:iCs/>
          <w:noProof/>
          <w:color w:val="000000"/>
          <w:sz w:val="24"/>
          <w:szCs w:val="24"/>
          <w:lang w:eastAsia="en-GB"/>
        </w:rPr>
        <w:t xml:space="preserve">to fall by </w:t>
      </w:r>
      <w:r w:rsidR="00C81EF7" w:rsidRPr="005C7E3D">
        <w:rPr>
          <w:rFonts w:ascii="Bembo Std" w:hAnsi="Bembo Std"/>
          <w:bCs/>
          <w:iCs/>
          <w:noProof/>
          <w:color w:val="000000"/>
          <w:sz w:val="24"/>
          <w:szCs w:val="24"/>
          <w:lang w:eastAsia="en-GB"/>
        </w:rPr>
        <w:t>-0</w:t>
      </w:r>
      <w:r w:rsidR="0036167E">
        <w:rPr>
          <w:rFonts w:ascii="Bembo Std" w:hAnsi="Bembo Std"/>
          <w:bCs/>
          <w:iCs/>
          <w:noProof/>
          <w:color w:val="000000"/>
          <w:sz w:val="24"/>
          <w:szCs w:val="24"/>
          <w:lang w:eastAsia="en-GB"/>
        </w:rPr>
        <w:t>.285</w:t>
      </w:r>
      <w:r w:rsidR="00A71A59" w:rsidRPr="005C7E3D">
        <w:rPr>
          <w:rFonts w:ascii="Bembo Std" w:hAnsi="Bembo Std"/>
          <w:bCs/>
          <w:iCs/>
          <w:noProof/>
          <w:color w:val="000000"/>
          <w:sz w:val="24"/>
          <w:szCs w:val="24"/>
          <w:lang w:eastAsia="en-GB"/>
        </w:rPr>
        <w:t xml:space="preserve"> </w:t>
      </w:r>
      <w:r w:rsidR="00C81EF7" w:rsidRPr="005C7E3D">
        <w:rPr>
          <w:rFonts w:ascii="Bembo Std" w:hAnsi="Bembo Std"/>
          <w:bCs/>
          <w:iCs/>
          <w:noProof/>
          <w:color w:val="000000"/>
          <w:sz w:val="24"/>
          <w:szCs w:val="24"/>
          <w:lang w:eastAsia="en-GB"/>
        </w:rPr>
        <w:t>%</w:t>
      </w:r>
      <w:r w:rsidR="008B2191">
        <w:rPr>
          <w:rFonts w:ascii="Bembo Std" w:hAnsi="Bembo Std"/>
          <w:bCs/>
          <w:iCs/>
          <w:noProof/>
          <w:color w:val="000000"/>
          <w:sz w:val="24"/>
          <w:szCs w:val="24"/>
          <w:lang w:eastAsia="en-GB"/>
        </w:rPr>
        <w:t xml:space="preserve"> to </w:t>
      </w:r>
      <w:r w:rsidR="00015777" w:rsidRPr="00015777">
        <w:rPr>
          <w:rFonts w:ascii="Bembo Std" w:hAnsi="Bembo Std"/>
          <w:bCs/>
          <w:iCs/>
          <w:noProof/>
          <w:color w:val="000000"/>
          <w:sz w:val="24"/>
          <w:szCs w:val="24"/>
          <w:lang w:eastAsia="en-GB"/>
        </w:rPr>
        <w:t>0.9</w:t>
      </w:r>
      <w:r w:rsidR="00E3120C">
        <w:rPr>
          <w:rFonts w:ascii="Bembo Std" w:hAnsi="Bembo Std"/>
          <w:bCs/>
          <w:iCs/>
          <w:noProof/>
          <w:color w:val="000000"/>
          <w:sz w:val="24"/>
          <w:szCs w:val="24"/>
          <w:lang w:eastAsia="en-GB"/>
        </w:rPr>
        <w:t>9</w:t>
      </w:r>
      <w:r w:rsidR="00A71A59">
        <w:rPr>
          <w:rFonts w:ascii="Bembo Std" w:hAnsi="Bembo Std"/>
          <w:bCs/>
          <w:iCs/>
          <w:noProof/>
          <w:color w:val="000000"/>
          <w:sz w:val="24"/>
          <w:szCs w:val="24"/>
          <w:lang w:eastAsia="en-GB"/>
        </w:rPr>
        <w:t>6572</w:t>
      </w:r>
      <w:r w:rsidR="00015777">
        <w:rPr>
          <w:rFonts w:ascii="Bembo Std" w:hAnsi="Bembo Std"/>
          <w:bCs/>
          <w:iCs/>
          <w:noProof/>
          <w:color w:val="000000"/>
          <w:sz w:val="24"/>
          <w:szCs w:val="24"/>
          <w:lang w:eastAsia="en-GB"/>
        </w:rPr>
        <w:t>.</w:t>
      </w:r>
    </w:p>
    <w:p w14:paraId="6CAFF9DA" w14:textId="77777777" w:rsidR="00442019" w:rsidRPr="005C7E3D" w:rsidRDefault="00442019" w:rsidP="00B91526">
      <w:pPr>
        <w:pStyle w:val="ListParagraph"/>
        <w:jc w:val="both"/>
        <w:rPr>
          <w:rFonts w:ascii="Bembo Std" w:hAnsi="Bembo Std"/>
          <w:bCs/>
          <w:iCs/>
          <w:noProof/>
          <w:color w:val="000000"/>
          <w:sz w:val="24"/>
          <w:szCs w:val="24"/>
          <w:lang w:eastAsia="en-GB"/>
        </w:rPr>
      </w:pPr>
    </w:p>
    <w:p w14:paraId="0FDC4612" w14:textId="59EC7BB1" w:rsidR="00EA7DB2" w:rsidRPr="005C7E3D" w:rsidRDefault="00E304EA" w:rsidP="005C7E3D">
      <w:pPr>
        <w:jc w:val="both"/>
        <w:rPr>
          <w:rFonts w:ascii="Bembo Std" w:hAnsi="Bembo Std"/>
          <w:bCs/>
          <w:iCs/>
          <w:noProof/>
          <w:color w:val="000000"/>
          <w:sz w:val="24"/>
          <w:szCs w:val="24"/>
          <w:lang w:eastAsia="en-GB"/>
        </w:rPr>
      </w:pPr>
      <w:r w:rsidRPr="005C7E3D">
        <w:rPr>
          <w:rFonts w:ascii="Bembo Std" w:hAnsi="Bembo Std"/>
          <w:bCs/>
          <w:iCs/>
          <w:noProof/>
          <w:color w:val="000000"/>
          <w:sz w:val="24"/>
          <w:szCs w:val="24"/>
          <w:lang w:eastAsia="en-GB"/>
        </w:rPr>
        <w:t xml:space="preserve">All other stress tests show that the Fund’s price </w:t>
      </w:r>
      <w:r w:rsidR="00474D2D" w:rsidRPr="005C7E3D">
        <w:rPr>
          <w:rFonts w:ascii="Bembo Std" w:hAnsi="Bembo Std"/>
          <w:bCs/>
          <w:iCs/>
          <w:noProof/>
          <w:color w:val="000000"/>
          <w:sz w:val="24"/>
          <w:szCs w:val="24"/>
          <w:lang w:eastAsia="en-GB"/>
        </w:rPr>
        <w:t xml:space="preserve">would remain within its LVNAV collar. </w:t>
      </w:r>
    </w:p>
    <w:p w14:paraId="02F22DB8" w14:textId="1A870449" w:rsidR="0081416A" w:rsidRDefault="00B41B3D" w:rsidP="005C7E3D">
      <w:pPr>
        <w:jc w:val="both"/>
        <w:rPr>
          <w:rFonts w:ascii="Bembo Std" w:hAnsi="Bembo Std"/>
          <w:bCs/>
          <w:iCs/>
          <w:noProof/>
          <w:color w:val="000000"/>
          <w:sz w:val="24"/>
          <w:szCs w:val="24"/>
          <w:lang w:eastAsia="en-GB"/>
        </w:rPr>
      </w:pPr>
      <w:r w:rsidRPr="005C7E3D">
        <w:rPr>
          <w:rFonts w:ascii="Bembo Std" w:hAnsi="Bembo Std"/>
          <w:bCs/>
          <w:iCs/>
          <w:noProof/>
          <w:color w:val="000000"/>
          <w:sz w:val="24"/>
          <w:szCs w:val="24"/>
          <w:lang w:eastAsia="en-GB"/>
        </w:rPr>
        <w:t>Given the above, I am happy to confirm I have no con</w:t>
      </w:r>
      <w:r w:rsidR="00F504F8">
        <w:rPr>
          <w:rFonts w:ascii="Bembo Std" w:hAnsi="Bembo Std"/>
          <w:bCs/>
          <w:iCs/>
          <w:noProof/>
          <w:color w:val="000000"/>
          <w:sz w:val="24"/>
          <w:szCs w:val="24"/>
          <w:lang w:eastAsia="en-GB"/>
        </w:rPr>
        <w:t>c</w:t>
      </w:r>
      <w:r w:rsidRPr="005C7E3D">
        <w:rPr>
          <w:rFonts w:ascii="Bembo Std" w:hAnsi="Bembo Std"/>
          <w:bCs/>
          <w:iCs/>
          <w:noProof/>
          <w:color w:val="000000"/>
          <w:sz w:val="24"/>
          <w:szCs w:val="24"/>
          <w:lang w:eastAsia="en-GB"/>
        </w:rPr>
        <w:t xml:space="preserve">erns with the stress test results </w:t>
      </w:r>
      <w:r w:rsidR="00E66FD4" w:rsidRPr="005C7E3D">
        <w:rPr>
          <w:rFonts w:ascii="Bembo Std" w:hAnsi="Bembo Std"/>
          <w:bCs/>
          <w:iCs/>
          <w:noProof/>
          <w:color w:val="000000"/>
          <w:sz w:val="24"/>
          <w:szCs w:val="24"/>
          <w:lang w:eastAsia="en-GB"/>
        </w:rPr>
        <w:t xml:space="preserve">of the PSDF. </w:t>
      </w:r>
    </w:p>
    <w:p w14:paraId="48BC1838" w14:textId="77777777" w:rsidR="00125BC7" w:rsidRPr="005C7E3D" w:rsidRDefault="00125BC7" w:rsidP="005C7E3D">
      <w:pPr>
        <w:jc w:val="both"/>
        <w:rPr>
          <w:rFonts w:ascii="Bembo Std" w:hAnsi="Bembo Std"/>
          <w:bCs/>
          <w:iCs/>
          <w:noProof/>
          <w:color w:val="000000"/>
          <w:sz w:val="24"/>
          <w:szCs w:val="24"/>
          <w:lang w:eastAsia="en-GB"/>
        </w:rPr>
      </w:pPr>
    </w:p>
    <w:p w14:paraId="218CE632" w14:textId="37DBDA25" w:rsidR="00E66FD4" w:rsidRPr="005C7E3D" w:rsidRDefault="00B91526" w:rsidP="00985E63">
      <w:pPr>
        <w:rPr>
          <w:rFonts w:ascii="Bembo Std" w:hAnsi="Bembo Std"/>
          <w:b/>
          <w:iCs/>
          <w:noProof/>
          <w:color w:val="000000"/>
          <w:sz w:val="24"/>
          <w:szCs w:val="24"/>
          <w:lang w:eastAsia="en-GB"/>
        </w:rPr>
      </w:pPr>
      <w:r>
        <w:rPr>
          <w:rFonts w:ascii="Bembo Std" w:hAnsi="Bembo Std"/>
          <w:b/>
          <w:iCs/>
          <w:noProof/>
          <w:color w:val="000000"/>
          <w:sz w:val="24"/>
          <w:szCs w:val="24"/>
          <w:lang w:eastAsia="en-GB"/>
        </w:rPr>
        <w:t>Federico Sassoli de Bianchi</w:t>
      </w:r>
      <w:r w:rsidR="00125BC7">
        <w:rPr>
          <w:rFonts w:ascii="Bembo Std" w:hAnsi="Bembo Std"/>
          <w:b/>
          <w:iCs/>
          <w:noProof/>
          <w:color w:val="000000"/>
          <w:sz w:val="24"/>
          <w:szCs w:val="24"/>
          <w:lang w:eastAsia="en-GB"/>
        </w:rPr>
        <w:br/>
      </w:r>
      <w:r w:rsidR="00E66FD4" w:rsidRPr="005C7E3D">
        <w:rPr>
          <w:rFonts w:ascii="Bembo Std" w:hAnsi="Bembo Std"/>
          <w:b/>
          <w:iCs/>
          <w:noProof/>
          <w:color w:val="000000"/>
          <w:sz w:val="24"/>
          <w:szCs w:val="24"/>
          <w:lang w:eastAsia="en-GB"/>
        </w:rPr>
        <w:t>Investment Risk Manager</w:t>
      </w:r>
    </w:p>
    <w:sectPr w:rsidR="00E66FD4" w:rsidRPr="005C7E3D" w:rsidSect="00454147">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Std">
    <w:panose1 w:val="02020605060306020A03"/>
    <w:charset w:val="00"/>
    <w:family w:val="roman"/>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469A"/>
    <w:multiLevelType w:val="hybridMultilevel"/>
    <w:tmpl w:val="7432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32365"/>
    <w:multiLevelType w:val="hybridMultilevel"/>
    <w:tmpl w:val="02D6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A0688"/>
    <w:multiLevelType w:val="hybridMultilevel"/>
    <w:tmpl w:val="7A6E4B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556619174">
    <w:abstractNumId w:val="0"/>
  </w:num>
  <w:num w:numId="2" w16cid:durableId="711687642">
    <w:abstractNumId w:val="1"/>
  </w:num>
  <w:num w:numId="3" w16cid:durableId="10258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A0"/>
    <w:rsid w:val="0000771A"/>
    <w:rsid w:val="00010F84"/>
    <w:rsid w:val="00015777"/>
    <w:rsid w:val="0005006B"/>
    <w:rsid w:val="000635A3"/>
    <w:rsid w:val="000815EB"/>
    <w:rsid w:val="0009540C"/>
    <w:rsid w:val="000A4D35"/>
    <w:rsid w:val="000A6A94"/>
    <w:rsid w:val="000B1BEF"/>
    <w:rsid w:val="000E2C88"/>
    <w:rsid w:val="000F280B"/>
    <w:rsid w:val="000F5299"/>
    <w:rsid w:val="00114C9A"/>
    <w:rsid w:val="00125BC7"/>
    <w:rsid w:val="00133A60"/>
    <w:rsid w:val="00152FA5"/>
    <w:rsid w:val="001549CB"/>
    <w:rsid w:val="00157ACE"/>
    <w:rsid w:val="00164F2A"/>
    <w:rsid w:val="00190CDA"/>
    <w:rsid w:val="00193677"/>
    <w:rsid w:val="00193C3D"/>
    <w:rsid w:val="001F1001"/>
    <w:rsid w:val="001F1C7F"/>
    <w:rsid w:val="00223E69"/>
    <w:rsid w:val="00262A79"/>
    <w:rsid w:val="002726DD"/>
    <w:rsid w:val="002755E3"/>
    <w:rsid w:val="00291458"/>
    <w:rsid w:val="002E34B9"/>
    <w:rsid w:val="002E71F4"/>
    <w:rsid w:val="002F2C2C"/>
    <w:rsid w:val="00311B4C"/>
    <w:rsid w:val="00327EEC"/>
    <w:rsid w:val="003426B1"/>
    <w:rsid w:val="0036167E"/>
    <w:rsid w:val="00377BBD"/>
    <w:rsid w:val="003C71BC"/>
    <w:rsid w:val="003D214B"/>
    <w:rsid w:val="003E205C"/>
    <w:rsid w:val="003F6904"/>
    <w:rsid w:val="00406057"/>
    <w:rsid w:val="00442019"/>
    <w:rsid w:val="00444133"/>
    <w:rsid w:val="00450D29"/>
    <w:rsid w:val="00453DA8"/>
    <w:rsid w:val="00454147"/>
    <w:rsid w:val="00455CD8"/>
    <w:rsid w:val="00474D2D"/>
    <w:rsid w:val="00476FA3"/>
    <w:rsid w:val="004A23BD"/>
    <w:rsid w:val="004A4A8B"/>
    <w:rsid w:val="004A50E8"/>
    <w:rsid w:val="004B2723"/>
    <w:rsid w:val="004B3E1A"/>
    <w:rsid w:val="004C3BED"/>
    <w:rsid w:val="004C468D"/>
    <w:rsid w:val="004E3549"/>
    <w:rsid w:val="004E679D"/>
    <w:rsid w:val="004F003E"/>
    <w:rsid w:val="005236E3"/>
    <w:rsid w:val="00526468"/>
    <w:rsid w:val="00542B00"/>
    <w:rsid w:val="00546DDC"/>
    <w:rsid w:val="00554046"/>
    <w:rsid w:val="00555C39"/>
    <w:rsid w:val="00562BFB"/>
    <w:rsid w:val="00564978"/>
    <w:rsid w:val="00580F8A"/>
    <w:rsid w:val="005A008B"/>
    <w:rsid w:val="005A75C4"/>
    <w:rsid w:val="005B31B7"/>
    <w:rsid w:val="005B4970"/>
    <w:rsid w:val="005B7EC5"/>
    <w:rsid w:val="005C7E3D"/>
    <w:rsid w:val="005D03B3"/>
    <w:rsid w:val="005E4097"/>
    <w:rsid w:val="005F0111"/>
    <w:rsid w:val="005F20B6"/>
    <w:rsid w:val="006043AB"/>
    <w:rsid w:val="00611680"/>
    <w:rsid w:val="0062235B"/>
    <w:rsid w:val="006226FE"/>
    <w:rsid w:val="006259E4"/>
    <w:rsid w:val="00671636"/>
    <w:rsid w:val="00683A6A"/>
    <w:rsid w:val="0068633F"/>
    <w:rsid w:val="006A495E"/>
    <w:rsid w:val="006C3A31"/>
    <w:rsid w:val="006E3D4E"/>
    <w:rsid w:val="006F4A9F"/>
    <w:rsid w:val="0071134B"/>
    <w:rsid w:val="0072260C"/>
    <w:rsid w:val="0073440B"/>
    <w:rsid w:val="00742E9F"/>
    <w:rsid w:val="00757854"/>
    <w:rsid w:val="0076169D"/>
    <w:rsid w:val="00762677"/>
    <w:rsid w:val="00792A4A"/>
    <w:rsid w:val="007942D3"/>
    <w:rsid w:val="007D30EC"/>
    <w:rsid w:val="007F3D55"/>
    <w:rsid w:val="008024AB"/>
    <w:rsid w:val="008068CD"/>
    <w:rsid w:val="0081416A"/>
    <w:rsid w:val="008346A0"/>
    <w:rsid w:val="008400A5"/>
    <w:rsid w:val="00874403"/>
    <w:rsid w:val="008836E1"/>
    <w:rsid w:val="00883EDD"/>
    <w:rsid w:val="008846FB"/>
    <w:rsid w:val="008867FD"/>
    <w:rsid w:val="00890BAB"/>
    <w:rsid w:val="008928AC"/>
    <w:rsid w:val="008A088E"/>
    <w:rsid w:val="008B2191"/>
    <w:rsid w:val="008B2872"/>
    <w:rsid w:val="008B5E61"/>
    <w:rsid w:val="008D485D"/>
    <w:rsid w:val="008E3BB0"/>
    <w:rsid w:val="008F1C16"/>
    <w:rsid w:val="008F5E12"/>
    <w:rsid w:val="00900462"/>
    <w:rsid w:val="00911992"/>
    <w:rsid w:val="00930A23"/>
    <w:rsid w:val="00931390"/>
    <w:rsid w:val="009426A8"/>
    <w:rsid w:val="00957AB4"/>
    <w:rsid w:val="00963549"/>
    <w:rsid w:val="00984435"/>
    <w:rsid w:val="00984888"/>
    <w:rsid w:val="00985185"/>
    <w:rsid w:val="00985E63"/>
    <w:rsid w:val="009D3390"/>
    <w:rsid w:val="009E2A60"/>
    <w:rsid w:val="009F207B"/>
    <w:rsid w:val="009F414F"/>
    <w:rsid w:val="00A442D8"/>
    <w:rsid w:val="00A52600"/>
    <w:rsid w:val="00A55151"/>
    <w:rsid w:val="00A65F88"/>
    <w:rsid w:val="00A71383"/>
    <w:rsid w:val="00A71A59"/>
    <w:rsid w:val="00A74EEB"/>
    <w:rsid w:val="00A7562C"/>
    <w:rsid w:val="00A76365"/>
    <w:rsid w:val="00A911B8"/>
    <w:rsid w:val="00AA5578"/>
    <w:rsid w:val="00AB0454"/>
    <w:rsid w:val="00AB79B7"/>
    <w:rsid w:val="00B01765"/>
    <w:rsid w:val="00B30E89"/>
    <w:rsid w:val="00B34F68"/>
    <w:rsid w:val="00B35CAA"/>
    <w:rsid w:val="00B41B3D"/>
    <w:rsid w:val="00B51528"/>
    <w:rsid w:val="00B63867"/>
    <w:rsid w:val="00B7737F"/>
    <w:rsid w:val="00B91526"/>
    <w:rsid w:val="00BC1818"/>
    <w:rsid w:val="00BD25AD"/>
    <w:rsid w:val="00BF0F9F"/>
    <w:rsid w:val="00BF4E14"/>
    <w:rsid w:val="00BF7F94"/>
    <w:rsid w:val="00C043DD"/>
    <w:rsid w:val="00C051E6"/>
    <w:rsid w:val="00C1222D"/>
    <w:rsid w:val="00C5546F"/>
    <w:rsid w:val="00C74C8B"/>
    <w:rsid w:val="00C76A37"/>
    <w:rsid w:val="00C81EF7"/>
    <w:rsid w:val="00CB39EF"/>
    <w:rsid w:val="00CB573F"/>
    <w:rsid w:val="00CB5F5C"/>
    <w:rsid w:val="00CB7F66"/>
    <w:rsid w:val="00CD2C71"/>
    <w:rsid w:val="00D01D21"/>
    <w:rsid w:val="00D215AE"/>
    <w:rsid w:val="00D33CC7"/>
    <w:rsid w:val="00D51758"/>
    <w:rsid w:val="00D52F8E"/>
    <w:rsid w:val="00D56ADA"/>
    <w:rsid w:val="00D6022F"/>
    <w:rsid w:val="00D7001F"/>
    <w:rsid w:val="00D770EC"/>
    <w:rsid w:val="00D91315"/>
    <w:rsid w:val="00DB6053"/>
    <w:rsid w:val="00DC13E3"/>
    <w:rsid w:val="00DD43C6"/>
    <w:rsid w:val="00DD5CFC"/>
    <w:rsid w:val="00E051EE"/>
    <w:rsid w:val="00E16424"/>
    <w:rsid w:val="00E21CDB"/>
    <w:rsid w:val="00E304EA"/>
    <w:rsid w:val="00E3120C"/>
    <w:rsid w:val="00E53DF3"/>
    <w:rsid w:val="00E66FD4"/>
    <w:rsid w:val="00E73B32"/>
    <w:rsid w:val="00E82938"/>
    <w:rsid w:val="00E94A72"/>
    <w:rsid w:val="00E95ED7"/>
    <w:rsid w:val="00EA19D6"/>
    <w:rsid w:val="00EA7DB2"/>
    <w:rsid w:val="00EB305D"/>
    <w:rsid w:val="00EB39D9"/>
    <w:rsid w:val="00EB5A12"/>
    <w:rsid w:val="00EC6E34"/>
    <w:rsid w:val="00ED2454"/>
    <w:rsid w:val="00EF3164"/>
    <w:rsid w:val="00F173ED"/>
    <w:rsid w:val="00F23732"/>
    <w:rsid w:val="00F33D98"/>
    <w:rsid w:val="00F34B0A"/>
    <w:rsid w:val="00F34DCE"/>
    <w:rsid w:val="00F504F8"/>
    <w:rsid w:val="00F515B9"/>
    <w:rsid w:val="00F55F71"/>
    <w:rsid w:val="00F60DD6"/>
    <w:rsid w:val="00F66CC4"/>
    <w:rsid w:val="00F76D1C"/>
    <w:rsid w:val="00F823FA"/>
    <w:rsid w:val="00F84E4A"/>
    <w:rsid w:val="00F870D2"/>
    <w:rsid w:val="00F93AA1"/>
    <w:rsid w:val="00FA4302"/>
    <w:rsid w:val="00FA51B7"/>
    <w:rsid w:val="00FB2F06"/>
    <w:rsid w:val="00FB6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C2E0"/>
  <w15:chartTrackingRefBased/>
  <w15:docId w15:val="{6AFCC2FD-0F1B-4E40-85B3-147C4C08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6A0"/>
    <w:pPr>
      <w:ind w:left="720"/>
      <w:contextualSpacing/>
    </w:pPr>
  </w:style>
  <w:style w:type="table" w:styleId="TableGrid">
    <w:name w:val="Table Grid"/>
    <w:basedOn w:val="TableNormal"/>
    <w:uiPriority w:val="39"/>
    <w:rsid w:val="00814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5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125B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9393">
      <w:bodyDiv w:val="1"/>
      <w:marLeft w:val="0"/>
      <w:marRight w:val="0"/>
      <w:marTop w:val="0"/>
      <w:marBottom w:val="0"/>
      <w:divBdr>
        <w:top w:val="none" w:sz="0" w:space="0" w:color="auto"/>
        <w:left w:val="none" w:sz="0" w:space="0" w:color="auto"/>
        <w:bottom w:val="none" w:sz="0" w:space="0" w:color="auto"/>
        <w:right w:val="none" w:sz="0" w:space="0" w:color="auto"/>
      </w:divBdr>
    </w:div>
    <w:div w:id="226768977">
      <w:bodyDiv w:val="1"/>
      <w:marLeft w:val="0"/>
      <w:marRight w:val="0"/>
      <w:marTop w:val="0"/>
      <w:marBottom w:val="0"/>
      <w:divBdr>
        <w:top w:val="none" w:sz="0" w:space="0" w:color="auto"/>
        <w:left w:val="none" w:sz="0" w:space="0" w:color="auto"/>
        <w:bottom w:val="none" w:sz="0" w:space="0" w:color="auto"/>
        <w:right w:val="none" w:sz="0" w:space="0" w:color="auto"/>
      </w:divBdr>
    </w:div>
    <w:div w:id="294526729">
      <w:bodyDiv w:val="1"/>
      <w:marLeft w:val="0"/>
      <w:marRight w:val="0"/>
      <w:marTop w:val="0"/>
      <w:marBottom w:val="0"/>
      <w:divBdr>
        <w:top w:val="none" w:sz="0" w:space="0" w:color="auto"/>
        <w:left w:val="none" w:sz="0" w:space="0" w:color="auto"/>
        <w:bottom w:val="none" w:sz="0" w:space="0" w:color="auto"/>
        <w:right w:val="none" w:sz="0" w:space="0" w:color="auto"/>
      </w:divBdr>
    </w:div>
    <w:div w:id="429089446">
      <w:bodyDiv w:val="1"/>
      <w:marLeft w:val="0"/>
      <w:marRight w:val="0"/>
      <w:marTop w:val="0"/>
      <w:marBottom w:val="0"/>
      <w:divBdr>
        <w:top w:val="none" w:sz="0" w:space="0" w:color="auto"/>
        <w:left w:val="none" w:sz="0" w:space="0" w:color="auto"/>
        <w:bottom w:val="none" w:sz="0" w:space="0" w:color="auto"/>
        <w:right w:val="none" w:sz="0" w:space="0" w:color="auto"/>
      </w:divBdr>
    </w:div>
    <w:div w:id="682823295">
      <w:bodyDiv w:val="1"/>
      <w:marLeft w:val="0"/>
      <w:marRight w:val="0"/>
      <w:marTop w:val="0"/>
      <w:marBottom w:val="0"/>
      <w:divBdr>
        <w:top w:val="none" w:sz="0" w:space="0" w:color="auto"/>
        <w:left w:val="none" w:sz="0" w:space="0" w:color="auto"/>
        <w:bottom w:val="none" w:sz="0" w:space="0" w:color="auto"/>
        <w:right w:val="none" w:sz="0" w:space="0" w:color="auto"/>
      </w:divBdr>
    </w:div>
    <w:div w:id="1109856430">
      <w:bodyDiv w:val="1"/>
      <w:marLeft w:val="0"/>
      <w:marRight w:val="0"/>
      <w:marTop w:val="0"/>
      <w:marBottom w:val="0"/>
      <w:divBdr>
        <w:top w:val="none" w:sz="0" w:space="0" w:color="auto"/>
        <w:left w:val="none" w:sz="0" w:space="0" w:color="auto"/>
        <w:bottom w:val="none" w:sz="0" w:space="0" w:color="auto"/>
        <w:right w:val="none" w:sz="0" w:space="0" w:color="auto"/>
      </w:divBdr>
    </w:div>
    <w:div w:id="1406685164">
      <w:bodyDiv w:val="1"/>
      <w:marLeft w:val="0"/>
      <w:marRight w:val="0"/>
      <w:marTop w:val="0"/>
      <w:marBottom w:val="0"/>
      <w:divBdr>
        <w:top w:val="none" w:sz="0" w:space="0" w:color="auto"/>
        <w:left w:val="none" w:sz="0" w:space="0" w:color="auto"/>
        <w:bottom w:val="none" w:sz="0" w:space="0" w:color="auto"/>
        <w:right w:val="none" w:sz="0" w:space="0" w:color="auto"/>
      </w:divBdr>
    </w:div>
    <w:div w:id="1415468112">
      <w:bodyDiv w:val="1"/>
      <w:marLeft w:val="0"/>
      <w:marRight w:val="0"/>
      <w:marTop w:val="0"/>
      <w:marBottom w:val="0"/>
      <w:divBdr>
        <w:top w:val="none" w:sz="0" w:space="0" w:color="auto"/>
        <w:left w:val="none" w:sz="0" w:space="0" w:color="auto"/>
        <w:bottom w:val="none" w:sz="0" w:space="0" w:color="auto"/>
        <w:right w:val="none" w:sz="0" w:space="0" w:color="auto"/>
      </w:divBdr>
    </w:div>
    <w:div w:id="1595356045">
      <w:bodyDiv w:val="1"/>
      <w:marLeft w:val="0"/>
      <w:marRight w:val="0"/>
      <w:marTop w:val="0"/>
      <w:marBottom w:val="0"/>
      <w:divBdr>
        <w:top w:val="none" w:sz="0" w:space="0" w:color="auto"/>
        <w:left w:val="none" w:sz="0" w:space="0" w:color="auto"/>
        <w:bottom w:val="none" w:sz="0" w:space="0" w:color="auto"/>
        <w:right w:val="none" w:sz="0" w:space="0" w:color="auto"/>
      </w:divBdr>
    </w:div>
    <w:div w:id="1751077869">
      <w:bodyDiv w:val="1"/>
      <w:marLeft w:val="0"/>
      <w:marRight w:val="0"/>
      <w:marTop w:val="0"/>
      <w:marBottom w:val="0"/>
      <w:divBdr>
        <w:top w:val="none" w:sz="0" w:space="0" w:color="auto"/>
        <w:left w:val="none" w:sz="0" w:space="0" w:color="auto"/>
        <w:bottom w:val="none" w:sz="0" w:space="0" w:color="auto"/>
        <w:right w:val="none" w:sz="0" w:space="0" w:color="auto"/>
      </w:divBdr>
    </w:div>
    <w:div w:id="1841114240">
      <w:bodyDiv w:val="1"/>
      <w:marLeft w:val="0"/>
      <w:marRight w:val="0"/>
      <w:marTop w:val="0"/>
      <w:marBottom w:val="0"/>
      <w:divBdr>
        <w:top w:val="none" w:sz="0" w:space="0" w:color="auto"/>
        <w:left w:val="none" w:sz="0" w:space="0" w:color="auto"/>
        <w:bottom w:val="none" w:sz="0" w:space="0" w:color="auto"/>
        <w:right w:val="none" w:sz="0" w:space="0" w:color="auto"/>
      </w:divBdr>
    </w:div>
    <w:div w:id="1843663870">
      <w:bodyDiv w:val="1"/>
      <w:marLeft w:val="0"/>
      <w:marRight w:val="0"/>
      <w:marTop w:val="0"/>
      <w:marBottom w:val="0"/>
      <w:divBdr>
        <w:top w:val="none" w:sz="0" w:space="0" w:color="auto"/>
        <w:left w:val="none" w:sz="0" w:space="0" w:color="auto"/>
        <w:bottom w:val="none" w:sz="0" w:space="0" w:color="auto"/>
        <w:right w:val="none" w:sz="0" w:space="0" w:color="auto"/>
      </w:divBdr>
    </w:div>
    <w:div w:id="1869562954">
      <w:bodyDiv w:val="1"/>
      <w:marLeft w:val="0"/>
      <w:marRight w:val="0"/>
      <w:marTop w:val="0"/>
      <w:marBottom w:val="0"/>
      <w:divBdr>
        <w:top w:val="none" w:sz="0" w:space="0" w:color="auto"/>
        <w:left w:val="none" w:sz="0" w:space="0" w:color="auto"/>
        <w:bottom w:val="none" w:sz="0" w:space="0" w:color="auto"/>
        <w:right w:val="none" w:sz="0" w:space="0" w:color="auto"/>
      </w:divBdr>
    </w:div>
    <w:div w:id="2050690000">
      <w:bodyDiv w:val="1"/>
      <w:marLeft w:val="0"/>
      <w:marRight w:val="0"/>
      <w:marTop w:val="0"/>
      <w:marBottom w:val="0"/>
      <w:divBdr>
        <w:top w:val="none" w:sz="0" w:space="0" w:color="auto"/>
        <w:left w:val="none" w:sz="0" w:space="0" w:color="auto"/>
        <w:bottom w:val="none" w:sz="0" w:space="0" w:color="auto"/>
        <w:right w:val="none" w:sz="0" w:space="0" w:color="auto"/>
      </w:divBdr>
    </w:div>
    <w:div w:id="2104303147">
      <w:bodyDiv w:val="1"/>
      <w:marLeft w:val="0"/>
      <w:marRight w:val="0"/>
      <w:marTop w:val="0"/>
      <w:marBottom w:val="0"/>
      <w:divBdr>
        <w:top w:val="none" w:sz="0" w:space="0" w:color="auto"/>
        <w:left w:val="none" w:sz="0" w:space="0" w:color="auto"/>
        <w:bottom w:val="none" w:sz="0" w:space="0" w:color="auto"/>
        <w:right w:val="none" w:sz="0" w:space="0" w:color="auto"/>
      </w:divBdr>
    </w:div>
    <w:div w:id="21354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77F3BB6B8B847B9D7B1A61233DE4C" ma:contentTypeVersion="16" ma:contentTypeDescription="Create a new document." ma:contentTypeScope="" ma:versionID="e393a73663bbba1b316cf5135ef97ea0">
  <xsd:schema xmlns:xsd="http://www.w3.org/2001/XMLSchema" xmlns:xs="http://www.w3.org/2001/XMLSchema" xmlns:p="http://schemas.microsoft.com/office/2006/metadata/properties" xmlns:ns2="9e79ee7c-ab89-4cce-8e93-14157747c996" xmlns:ns3="a964d3ee-06d1-4607-b99c-57e329b76458" targetNamespace="http://schemas.microsoft.com/office/2006/metadata/properties" ma:root="true" ma:fieldsID="eedcb721f528602afc7f135f8b8fdcb4" ns2:_="" ns3:_="">
    <xsd:import namespace="9e79ee7c-ab89-4cce-8e93-14157747c996"/>
    <xsd:import namespace="a964d3ee-06d1-4607-b99c-57e329b76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9ee7c-ab89-4cce-8e93-14157747c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94a016-7bcf-4c4e-be59-bd7240b553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64d3ee-06d1-4607-b99c-57e329b76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e5c6a-3858-42e1-841d-12e21fb752bb}" ma:internalName="TaxCatchAll" ma:showField="CatchAllData" ma:web="a964d3ee-06d1-4607-b99c-57e329b76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64d3ee-06d1-4607-b99c-57e329b76458" xsi:nil="true"/>
    <lcf76f155ced4ddcb4097134ff3c332f xmlns="9e79ee7c-ab89-4cce-8e93-14157747c9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0A374-746F-444F-88EA-BEA39ACE5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9ee7c-ab89-4cce-8e93-14157747c996"/>
    <ds:schemaRef ds:uri="a964d3ee-06d1-4607-b99c-57e329b76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57CCD-3D76-4679-AF4E-A995E8775D94}">
  <ds:schemaRefs>
    <ds:schemaRef ds:uri="http://schemas.microsoft.com/sharepoint/v3/contenttype/forms"/>
  </ds:schemaRefs>
</ds:datastoreItem>
</file>

<file path=customXml/itemProps3.xml><?xml version="1.0" encoding="utf-8"?>
<ds:datastoreItem xmlns:ds="http://schemas.openxmlformats.org/officeDocument/2006/customXml" ds:itemID="{AD943603-57F9-4E4C-82D9-E00CE86E814F}">
  <ds:schemaRefs>
    <ds:schemaRef ds:uri="http://schemas.microsoft.com/office/2006/metadata/properties"/>
    <ds:schemaRef ds:uri="http://schemas.microsoft.com/office/infopath/2007/PartnerControls"/>
    <ds:schemaRef ds:uri="a964d3ee-06d1-4607-b99c-57e329b76458"/>
    <ds:schemaRef ds:uri="9e79ee7c-ab89-4cce-8e93-14157747c9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Viresh Kanabar</dc:creator>
  <cp:keywords/>
  <dc:description/>
  <cp:lastModifiedBy>Linda Sharpe</cp:lastModifiedBy>
  <cp:revision>9</cp:revision>
  <dcterms:created xsi:type="dcterms:W3CDTF">2022-07-05T14:21:00Z</dcterms:created>
  <dcterms:modified xsi:type="dcterms:W3CDTF">2022-07-11T10:00:00Z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0x010100A4564855CECE684DBD91E00F0CE16D08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