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B4FC" w14:textId="77777777" w:rsidR="00394596" w:rsidRPr="000F7431" w:rsidRDefault="00394596" w:rsidP="007D7383">
      <w:pPr>
        <w:rPr>
          <w:rFonts w:ascii="Bembo Std" w:hAnsi="Bembo Std"/>
          <w:b/>
          <w:caps/>
          <w:sz w:val="24"/>
          <w:szCs w:val="24"/>
        </w:rPr>
      </w:pPr>
      <w:r w:rsidRPr="000F7431">
        <w:rPr>
          <w:rFonts w:ascii="Bembo Std" w:hAnsi="Bembo Std"/>
          <w:b/>
          <w:caps/>
          <w:sz w:val="24"/>
          <w:szCs w:val="24"/>
        </w:rPr>
        <w:t>CCLA INVESTMENT MANAGEMENT LIMITED</w:t>
      </w:r>
      <w:r w:rsidR="000F4FD3" w:rsidRPr="000F7431">
        <w:rPr>
          <w:rFonts w:ascii="Bembo Std" w:hAnsi="Bembo Std"/>
          <w:b/>
          <w:caps/>
          <w:sz w:val="24"/>
          <w:szCs w:val="24"/>
        </w:rPr>
        <w:t xml:space="preserve">       </w:t>
      </w:r>
      <w:r w:rsidR="00CE19F0" w:rsidRPr="000F7431">
        <w:rPr>
          <w:rFonts w:ascii="Bembo Std" w:hAnsi="Bembo Std"/>
          <w:b/>
          <w:caps/>
          <w:sz w:val="24"/>
          <w:szCs w:val="24"/>
        </w:rPr>
        <w:t xml:space="preserve">       </w:t>
      </w:r>
      <w:r w:rsidR="00FD1054" w:rsidRPr="000F7431">
        <w:rPr>
          <w:rFonts w:ascii="Bembo Std" w:hAnsi="Bembo Std"/>
          <w:b/>
          <w:caps/>
          <w:sz w:val="24"/>
          <w:szCs w:val="24"/>
        </w:rPr>
        <w:t xml:space="preserve">      </w:t>
      </w:r>
      <w:r w:rsidR="00FF4473" w:rsidRPr="000F7431">
        <w:rPr>
          <w:rFonts w:ascii="Bembo Std" w:hAnsi="Bembo Std"/>
          <w:b/>
          <w:caps/>
          <w:sz w:val="24"/>
          <w:szCs w:val="24"/>
        </w:rPr>
        <w:t xml:space="preserve"> </w:t>
      </w:r>
      <w:r w:rsidR="000F4FD3" w:rsidRPr="000F7431">
        <w:rPr>
          <w:rFonts w:ascii="Bembo Std" w:hAnsi="Bembo Std"/>
          <w:b/>
          <w:caps/>
          <w:sz w:val="24"/>
          <w:szCs w:val="24"/>
        </w:rPr>
        <w:t>PSDF</w:t>
      </w:r>
      <w:r w:rsidR="00CE19F0" w:rsidRPr="000F7431">
        <w:rPr>
          <w:rFonts w:ascii="Bembo Std" w:hAnsi="Bembo Std"/>
          <w:b/>
          <w:caps/>
          <w:sz w:val="24"/>
          <w:szCs w:val="24"/>
        </w:rPr>
        <w:t>(</w:t>
      </w:r>
      <w:r w:rsidR="00CE2015" w:rsidRPr="000F7431">
        <w:rPr>
          <w:rFonts w:ascii="Bembo Std" w:hAnsi="Bembo Std"/>
          <w:b/>
          <w:caps/>
          <w:sz w:val="24"/>
          <w:szCs w:val="24"/>
        </w:rPr>
        <w:t>22</w:t>
      </w:r>
      <w:r w:rsidR="00CE19F0" w:rsidRPr="000F7431">
        <w:rPr>
          <w:rFonts w:ascii="Bembo Std" w:hAnsi="Bembo Std"/>
          <w:b/>
          <w:caps/>
          <w:sz w:val="24"/>
          <w:szCs w:val="24"/>
        </w:rPr>
        <w:t>)</w:t>
      </w:r>
      <w:r w:rsidR="00C60E66" w:rsidRPr="000F7431">
        <w:rPr>
          <w:rFonts w:ascii="Bembo Std" w:hAnsi="Bembo Std"/>
          <w:b/>
          <w:caps/>
          <w:sz w:val="24"/>
          <w:szCs w:val="24"/>
        </w:rPr>
        <w:t>P11</w:t>
      </w:r>
    </w:p>
    <w:p w14:paraId="515AE7FC" w14:textId="77777777" w:rsidR="00394596" w:rsidRPr="000F7431" w:rsidRDefault="00394596" w:rsidP="009118A6">
      <w:pPr>
        <w:rPr>
          <w:rFonts w:ascii="Bembo Std" w:hAnsi="Bembo Std"/>
          <w:caps/>
          <w:sz w:val="24"/>
          <w:szCs w:val="24"/>
        </w:rPr>
      </w:pPr>
    </w:p>
    <w:p w14:paraId="2782907B" w14:textId="77777777" w:rsidR="000F4FD3" w:rsidRPr="000F7431" w:rsidRDefault="005D0EA6" w:rsidP="009118A6">
      <w:pPr>
        <w:rPr>
          <w:rFonts w:ascii="Bembo Std" w:hAnsi="Bembo Std"/>
          <w:b/>
          <w:caps/>
          <w:sz w:val="24"/>
          <w:szCs w:val="24"/>
        </w:rPr>
      </w:pPr>
      <w:r w:rsidRPr="000F7431">
        <w:rPr>
          <w:rFonts w:ascii="Bembo Std" w:hAnsi="Bembo Std"/>
          <w:b/>
          <w:caps/>
          <w:sz w:val="24"/>
          <w:szCs w:val="24"/>
        </w:rPr>
        <w:t xml:space="preserve">The Public </w:t>
      </w:r>
      <w:r w:rsidR="000F4FD3" w:rsidRPr="000F7431">
        <w:rPr>
          <w:rFonts w:ascii="Bembo Std" w:hAnsi="Bembo Std"/>
          <w:b/>
          <w:caps/>
          <w:sz w:val="24"/>
          <w:szCs w:val="24"/>
        </w:rPr>
        <w:t>Sector Deposit Fund Advisory Board</w:t>
      </w:r>
    </w:p>
    <w:p w14:paraId="56ED81AB" w14:textId="77777777" w:rsidR="00B261D1" w:rsidRPr="000F7431" w:rsidRDefault="00B261D1" w:rsidP="009118A6">
      <w:pPr>
        <w:rPr>
          <w:rFonts w:ascii="Bembo Std" w:hAnsi="Bembo Std"/>
          <w:b/>
          <w:caps/>
        </w:rPr>
      </w:pPr>
    </w:p>
    <w:p w14:paraId="709465CB" w14:textId="77777777" w:rsidR="00B261D1" w:rsidRPr="000F7431" w:rsidRDefault="00BD5558" w:rsidP="00CD1367">
      <w:pPr>
        <w:rPr>
          <w:rFonts w:ascii="Bembo Std" w:hAnsi="Bembo Std"/>
          <w:b/>
          <w:caps/>
          <w:sz w:val="24"/>
          <w:szCs w:val="24"/>
          <w:u w:val="single"/>
        </w:rPr>
      </w:pPr>
      <w:r w:rsidRPr="000F7431">
        <w:rPr>
          <w:rFonts w:ascii="Bembo Std" w:hAnsi="Bembo Std"/>
          <w:b/>
          <w:caps/>
          <w:sz w:val="24"/>
          <w:szCs w:val="24"/>
          <w:u w:val="single"/>
        </w:rPr>
        <w:t xml:space="preserve">Current </w:t>
      </w:r>
      <w:r w:rsidR="00B261D1" w:rsidRPr="000F7431">
        <w:rPr>
          <w:rFonts w:ascii="Bembo Std" w:hAnsi="Bembo Std"/>
          <w:b/>
          <w:caps/>
          <w:sz w:val="24"/>
          <w:szCs w:val="24"/>
          <w:u w:val="single"/>
        </w:rPr>
        <w:t xml:space="preserve">Counterparty </w:t>
      </w:r>
      <w:r w:rsidRPr="000F7431">
        <w:rPr>
          <w:rFonts w:ascii="Bembo Std" w:hAnsi="Bembo Std"/>
          <w:b/>
          <w:caps/>
          <w:sz w:val="24"/>
          <w:szCs w:val="24"/>
          <w:u w:val="single"/>
        </w:rPr>
        <w:t>Exposures</w:t>
      </w:r>
    </w:p>
    <w:p w14:paraId="08121370" w14:textId="77777777" w:rsidR="00B261D1" w:rsidRPr="000F7431" w:rsidRDefault="00B261D1" w:rsidP="00B261D1">
      <w:pPr>
        <w:jc w:val="both"/>
        <w:rPr>
          <w:rFonts w:ascii="Bembo Std" w:hAnsi="Bembo Std"/>
          <w:caps/>
          <w:sz w:val="24"/>
          <w:szCs w:val="24"/>
        </w:rPr>
      </w:pPr>
    </w:p>
    <w:p w14:paraId="38805860" w14:textId="77777777" w:rsidR="005D6D2C" w:rsidRPr="0000462D" w:rsidRDefault="005D6D2C" w:rsidP="00775E66">
      <w:pPr>
        <w:rPr>
          <w:rFonts w:ascii="Bembo Std" w:hAnsi="Bembo Std" w:cs="Arial"/>
          <w:b/>
          <w:sz w:val="24"/>
          <w:szCs w:val="24"/>
          <w:u w:val="single"/>
        </w:rPr>
      </w:pPr>
      <w:r w:rsidRPr="0000462D">
        <w:rPr>
          <w:rFonts w:ascii="Bembo Std" w:hAnsi="Bembo Std" w:cs="Arial"/>
          <w:b/>
          <w:sz w:val="24"/>
          <w:szCs w:val="24"/>
          <w:u w:val="single"/>
        </w:rPr>
        <w:t>Summary</w:t>
      </w:r>
    </w:p>
    <w:p w14:paraId="2ECB268E" w14:textId="77777777" w:rsidR="00815039" w:rsidRPr="002259CA" w:rsidRDefault="00815039" w:rsidP="00775E66">
      <w:pPr>
        <w:rPr>
          <w:rFonts w:ascii="Bembo Std" w:hAnsi="Bembo Std" w:cs="Arial"/>
          <w:b/>
          <w:sz w:val="24"/>
          <w:szCs w:val="24"/>
          <w:u w:val="single"/>
        </w:rPr>
      </w:pPr>
    </w:p>
    <w:p w14:paraId="4292DA98" w14:textId="77777777" w:rsidR="004A182A" w:rsidRPr="002259CA" w:rsidRDefault="003D59E6" w:rsidP="00A07808">
      <w:pPr>
        <w:numPr>
          <w:ilvl w:val="0"/>
          <w:numId w:val="11"/>
        </w:numPr>
        <w:spacing w:before="60" w:after="60"/>
        <w:ind w:left="1434" w:hanging="357"/>
        <w:jc w:val="both"/>
        <w:rPr>
          <w:rFonts w:ascii="Bembo Std" w:hAnsi="Bembo Std"/>
          <w:b/>
          <w:sz w:val="24"/>
          <w:szCs w:val="24"/>
        </w:rPr>
      </w:pPr>
      <w:r w:rsidRPr="002259CA">
        <w:rPr>
          <w:rFonts w:ascii="Bembo Std" w:hAnsi="Bembo Std"/>
          <w:b/>
          <w:sz w:val="24"/>
          <w:szCs w:val="24"/>
        </w:rPr>
        <w:t>Exposure to banks domiciled overseas</w:t>
      </w:r>
      <w:r w:rsidR="00C02F38">
        <w:rPr>
          <w:rFonts w:ascii="Bembo Std" w:hAnsi="Bembo Std"/>
          <w:b/>
          <w:sz w:val="24"/>
          <w:szCs w:val="24"/>
        </w:rPr>
        <w:t xml:space="preserve"> </w:t>
      </w:r>
      <w:r w:rsidR="00703D0E" w:rsidRPr="002259CA">
        <w:rPr>
          <w:rFonts w:ascii="Bembo Std" w:hAnsi="Bembo Std"/>
          <w:b/>
          <w:sz w:val="24"/>
          <w:szCs w:val="24"/>
        </w:rPr>
        <w:t xml:space="preserve">as </w:t>
      </w:r>
      <w:r w:rsidR="00C5169C" w:rsidRPr="002259CA">
        <w:rPr>
          <w:rFonts w:ascii="Bembo Std" w:hAnsi="Bembo Std"/>
          <w:b/>
          <w:sz w:val="24"/>
          <w:szCs w:val="24"/>
        </w:rPr>
        <w:t>of</w:t>
      </w:r>
      <w:r w:rsidR="00703D0E" w:rsidRPr="002259CA">
        <w:rPr>
          <w:rFonts w:ascii="Bembo Std" w:hAnsi="Bembo Std"/>
          <w:b/>
          <w:sz w:val="24"/>
          <w:szCs w:val="24"/>
        </w:rPr>
        <w:t xml:space="preserve"> </w:t>
      </w:r>
      <w:r w:rsidR="005835AD">
        <w:rPr>
          <w:rFonts w:ascii="Bembo Std" w:hAnsi="Bembo Std"/>
          <w:b/>
          <w:sz w:val="24"/>
          <w:szCs w:val="24"/>
        </w:rPr>
        <w:t>30 June</w:t>
      </w:r>
      <w:r w:rsidR="00C02F38">
        <w:rPr>
          <w:rFonts w:ascii="Bembo Std" w:hAnsi="Bembo Std"/>
          <w:b/>
          <w:sz w:val="24"/>
          <w:szCs w:val="24"/>
        </w:rPr>
        <w:t xml:space="preserve"> 2022 it</w:t>
      </w:r>
      <w:r w:rsidR="00703D0E" w:rsidRPr="002259CA">
        <w:rPr>
          <w:rFonts w:ascii="Bembo Std" w:hAnsi="Bembo Std"/>
          <w:b/>
          <w:sz w:val="24"/>
          <w:szCs w:val="24"/>
        </w:rPr>
        <w:t xml:space="preserve"> was </w:t>
      </w:r>
      <w:r w:rsidR="00C60E66">
        <w:rPr>
          <w:rFonts w:ascii="Bembo Std" w:hAnsi="Bembo Std"/>
          <w:b/>
          <w:sz w:val="24"/>
          <w:szCs w:val="24"/>
        </w:rPr>
        <w:t>77.85</w:t>
      </w:r>
      <w:r w:rsidR="00703D0E" w:rsidRPr="002259CA">
        <w:rPr>
          <w:rFonts w:ascii="Bembo Std" w:hAnsi="Bembo Std"/>
          <w:b/>
          <w:sz w:val="24"/>
          <w:szCs w:val="24"/>
        </w:rPr>
        <w:t>%</w:t>
      </w:r>
    </w:p>
    <w:p w14:paraId="16D8DE3A" w14:textId="77777777" w:rsidR="004A182A" w:rsidRPr="002259CA" w:rsidRDefault="004A182A" w:rsidP="004A182A">
      <w:pPr>
        <w:numPr>
          <w:ilvl w:val="0"/>
          <w:numId w:val="11"/>
        </w:numPr>
        <w:spacing w:before="60" w:after="60"/>
        <w:ind w:left="1434" w:hanging="357"/>
        <w:jc w:val="both"/>
        <w:rPr>
          <w:rFonts w:ascii="Bembo Std" w:hAnsi="Bembo Std"/>
          <w:b/>
          <w:i/>
          <w:iCs/>
          <w:sz w:val="24"/>
          <w:szCs w:val="24"/>
        </w:rPr>
      </w:pPr>
      <w:r w:rsidRPr="002259CA">
        <w:rPr>
          <w:rFonts w:ascii="Bembo Std" w:hAnsi="Bembo Std"/>
          <w:b/>
          <w:sz w:val="24"/>
          <w:szCs w:val="24"/>
        </w:rPr>
        <w:t>All outstanding investments are within the permitted limits</w:t>
      </w:r>
    </w:p>
    <w:p w14:paraId="18D204DB" w14:textId="77777777" w:rsidR="003D59E6" w:rsidRPr="002259CA" w:rsidRDefault="005A57ED" w:rsidP="003D59E6">
      <w:pPr>
        <w:numPr>
          <w:ilvl w:val="0"/>
          <w:numId w:val="11"/>
        </w:numPr>
        <w:spacing w:before="60" w:after="60"/>
        <w:ind w:left="1434" w:hanging="357"/>
        <w:jc w:val="both"/>
        <w:rPr>
          <w:rFonts w:ascii="Bembo Std" w:hAnsi="Bembo Std"/>
          <w:b/>
          <w:sz w:val="24"/>
          <w:szCs w:val="24"/>
        </w:rPr>
      </w:pPr>
      <w:r w:rsidRPr="002259CA">
        <w:rPr>
          <w:rFonts w:ascii="Bembo Std" w:hAnsi="Bembo Std"/>
          <w:b/>
          <w:sz w:val="24"/>
          <w:szCs w:val="24"/>
        </w:rPr>
        <w:t>The</w:t>
      </w:r>
      <w:r w:rsidR="008E21C6" w:rsidRPr="002259CA">
        <w:rPr>
          <w:rFonts w:ascii="Bembo Std" w:hAnsi="Bembo Std"/>
          <w:b/>
          <w:sz w:val="24"/>
          <w:szCs w:val="24"/>
        </w:rPr>
        <w:t xml:space="preserve"> l</w:t>
      </w:r>
      <w:r w:rsidR="003D59E6" w:rsidRPr="002259CA">
        <w:rPr>
          <w:rFonts w:ascii="Bembo Std" w:hAnsi="Bembo Std"/>
          <w:b/>
          <w:sz w:val="24"/>
          <w:szCs w:val="24"/>
        </w:rPr>
        <w:t xml:space="preserve">argest overseas exposure was </w:t>
      </w:r>
      <w:r w:rsidR="009064FC">
        <w:rPr>
          <w:rFonts w:ascii="Bembo Std" w:hAnsi="Bembo Std"/>
          <w:b/>
          <w:sz w:val="24"/>
          <w:szCs w:val="24"/>
        </w:rPr>
        <w:t>to German domiciled banks</w:t>
      </w:r>
      <w:r w:rsidRPr="002259CA">
        <w:rPr>
          <w:rFonts w:ascii="Bembo Std" w:hAnsi="Bembo Std"/>
          <w:b/>
          <w:sz w:val="24"/>
          <w:szCs w:val="24"/>
        </w:rPr>
        <w:t xml:space="preserve">, </w:t>
      </w:r>
      <w:r w:rsidR="00554FCE" w:rsidRPr="002259CA">
        <w:rPr>
          <w:rFonts w:ascii="Bembo Std" w:hAnsi="Bembo Std"/>
          <w:b/>
          <w:sz w:val="24"/>
          <w:szCs w:val="24"/>
        </w:rPr>
        <w:t xml:space="preserve">followed by </w:t>
      </w:r>
      <w:r w:rsidR="009064FC">
        <w:rPr>
          <w:rFonts w:ascii="Bembo Std" w:hAnsi="Bembo Std"/>
          <w:b/>
          <w:sz w:val="24"/>
          <w:szCs w:val="24"/>
        </w:rPr>
        <w:t>the Canadian</w:t>
      </w:r>
      <w:r w:rsidR="00182D38">
        <w:rPr>
          <w:rFonts w:ascii="Bembo Std" w:hAnsi="Bembo Std"/>
          <w:b/>
          <w:sz w:val="24"/>
          <w:szCs w:val="24"/>
        </w:rPr>
        <w:t xml:space="preserve"> banks</w:t>
      </w:r>
    </w:p>
    <w:p w14:paraId="4C10F85C" w14:textId="77777777" w:rsidR="00347ECD" w:rsidRPr="002259CA" w:rsidRDefault="00347ECD" w:rsidP="008142AF">
      <w:pPr>
        <w:spacing w:before="240" w:after="60"/>
        <w:jc w:val="both"/>
        <w:rPr>
          <w:rFonts w:ascii="Bembo Std" w:hAnsi="Bembo Std"/>
          <w:sz w:val="24"/>
          <w:szCs w:val="24"/>
        </w:rPr>
      </w:pPr>
    </w:p>
    <w:p w14:paraId="4214C11B" w14:textId="77777777" w:rsidR="003707CF" w:rsidRPr="002259CA" w:rsidRDefault="00B261D1" w:rsidP="008142AF">
      <w:pPr>
        <w:spacing w:before="240" w:after="60"/>
        <w:jc w:val="both"/>
        <w:rPr>
          <w:rFonts w:ascii="Bembo Std" w:hAnsi="Bembo Std"/>
          <w:sz w:val="24"/>
          <w:szCs w:val="24"/>
        </w:rPr>
      </w:pPr>
      <w:r w:rsidRPr="002259CA">
        <w:rPr>
          <w:rFonts w:ascii="Bembo Std" w:hAnsi="Bembo Std"/>
          <w:sz w:val="24"/>
          <w:szCs w:val="24"/>
        </w:rPr>
        <w:t>With CCLA’s long experience of managing Deposit Funds</w:t>
      </w:r>
      <w:r w:rsidR="00975B3B" w:rsidRPr="002259CA">
        <w:rPr>
          <w:rFonts w:ascii="Bembo Std" w:hAnsi="Bembo Std"/>
          <w:sz w:val="24"/>
          <w:szCs w:val="24"/>
        </w:rPr>
        <w:t>,</w:t>
      </w:r>
      <w:r w:rsidRPr="002259CA">
        <w:rPr>
          <w:rFonts w:ascii="Bembo Std" w:hAnsi="Bembo Std"/>
          <w:sz w:val="24"/>
          <w:szCs w:val="24"/>
        </w:rPr>
        <w:t xml:space="preserve"> it has been possible to establish a comprehensive list of market counterparties. This enables a high degree of diversification while still achieving a competitive yield. </w:t>
      </w:r>
      <w:r w:rsidR="00C02F38">
        <w:rPr>
          <w:rFonts w:ascii="Bembo Std" w:hAnsi="Bembo Std"/>
          <w:sz w:val="24"/>
          <w:szCs w:val="24"/>
        </w:rPr>
        <w:t>T</w:t>
      </w:r>
      <w:r w:rsidR="003707CF" w:rsidRPr="002259CA">
        <w:rPr>
          <w:rFonts w:ascii="Bembo Std" w:hAnsi="Bembo Std"/>
          <w:sz w:val="24"/>
          <w:szCs w:val="24"/>
        </w:rPr>
        <w:t xml:space="preserve">he number of authorised financial institutions was </w:t>
      </w:r>
      <w:r w:rsidR="000E2F07" w:rsidRPr="002259CA">
        <w:rPr>
          <w:rFonts w:ascii="Bembo Std" w:hAnsi="Bembo Std"/>
          <w:sz w:val="24"/>
          <w:szCs w:val="24"/>
        </w:rPr>
        <w:t>5</w:t>
      </w:r>
      <w:r w:rsidR="00C02F38">
        <w:rPr>
          <w:rFonts w:ascii="Bembo Std" w:hAnsi="Bembo Std"/>
          <w:sz w:val="24"/>
          <w:szCs w:val="24"/>
        </w:rPr>
        <w:t>5</w:t>
      </w:r>
      <w:r w:rsidR="007971B7" w:rsidRPr="002259CA">
        <w:rPr>
          <w:rFonts w:ascii="Bembo Std" w:hAnsi="Bembo Std"/>
          <w:sz w:val="24"/>
          <w:szCs w:val="24"/>
        </w:rPr>
        <w:t>,</w:t>
      </w:r>
      <w:r w:rsidR="003707CF" w:rsidRPr="002259CA">
        <w:rPr>
          <w:rFonts w:ascii="Bembo Std" w:hAnsi="Bembo Std"/>
          <w:sz w:val="24"/>
          <w:szCs w:val="24"/>
        </w:rPr>
        <w:t xml:space="preserve"> of which </w:t>
      </w:r>
      <w:r w:rsidR="005835AD" w:rsidRPr="002259CA">
        <w:rPr>
          <w:rFonts w:ascii="Bembo Std" w:hAnsi="Bembo Std"/>
          <w:sz w:val="24"/>
          <w:szCs w:val="24"/>
        </w:rPr>
        <w:t>3</w:t>
      </w:r>
      <w:r w:rsidR="005835AD">
        <w:rPr>
          <w:rFonts w:ascii="Bembo Std" w:hAnsi="Bembo Std"/>
          <w:sz w:val="24"/>
          <w:szCs w:val="24"/>
        </w:rPr>
        <w:t>5</w:t>
      </w:r>
      <w:r w:rsidR="005835AD" w:rsidRPr="002259CA">
        <w:rPr>
          <w:rFonts w:ascii="Bembo Std" w:hAnsi="Bembo Std"/>
          <w:sz w:val="24"/>
          <w:szCs w:val="24"/>
        </w:rPr>
        <w:t xml:space="preserve"> </w:t>
      </w:r>
      <w:r w:rsidR="003707CF" w:rsidRPr="002259CA">
        <w:rPr>
          <w:rFonts w:ascii="Bembo Std" w:hAnsi="Bembo Std"/>
          <w:sz w:val="24"/>
          <w:szCs w:val="24"/>
        </w:rPr>
        <w:t>were utilised.</w:t>
      </w:r>
    </w:p>
    <w:p w14:paraId="314100ED" w14:textId="77777777" w:rsidR="00006D76" w:rsidRPr="0000462D" w:rsidRDefault="005A57ED" w:rsidP="008142AF">
      <w:pPr>
        <w:spacing w:before="240" w:after="60"/>
        <w:jc w:val="both"/>
        <w:rPr>
          <w:rFonts w:ascii="Bembo Std" w:hAnsi="Bembo Std"/>
          <w:sz w:val="24"/>
          <w:szCs w:val="24"/>
        </w:rPr>
      </w:pPr>
      <w:r w:rsidRPr="002259CA">
        <w:rPr>
          <w:rFonts w:ascii="Bembo Std" w:hAnsi="Bembo Std"/>
          <w:sz w:val="24"/>
          <w:szCs w:val="24"/>
        </w:rPr>
        <w:t xml:space="preserve">As previously noted, </w:t>
      </w:r>
      <w:r w:rsidR="00011598" w:rsidRPr="00BE453C">
        <w:rPr>
          <w:rFonts w:ascii="Bembo Std" w:hAnsi="Bembo Std"/>
          <w:color w:val="000000"/>
          <w:sz w:val="24"/>
          <w:szCs w:val="24"/>
        </w:rPr>
        <w:t>on 14 January 2019</w:t>
      </w:r>
      <w:r w:rsidR="00011598">
        <w:rPr>
          <w:rFonts w:ascii="Bembo Std" w:hAnsi="Bembo Std"/>
          <w:color w:val="000000"/>
          <w:sz w:val="24"/>
          <w:szCs w:val="24"/>
        </w:rPr>
        <w:t xml:space="preserve"> </w:t>
      </w:r>
      <w:r w:rsidRPr="002259CA">
        <w:rPr>
          <w:rFonts w:ascii="Bembo Std" w:hAnsi="Bembo Std"/>
          <w:sz w:val="24"/>
          <w:szCs w:val="24"/>
        </w:rPr>
        <w:t>t</w:t>
      </w:r>
      <w:r w:rsidR="00006D76" w:rsidRPr="002259CA">
        <w:rPr>
          <w:rFonts w:ascii="Bembo Std" w:hAnsi="Bembo Std"/>
          <w:sz w:val="24"/>
          <w:szCs w:val="24"/>
        </w:rPr>
        <w:t>he</w:t>
      </w:r>
      <w:r w:rsidR="00703D0E" w:rsidRPr="002259CA">
        <w:rPr>
          <w:rFonts w:ascii="Bembo Std" w:hAnsi="Bembo Std"/>
          <w:sz w:val="24"/>
          <w:szCs w:val="24"/>
        </w:rPr>
        <w:t xml:space="preserve"> CCLA Investment Committee</w:t>
      </w:r>
      <w:r w:rsidR="00006D76" w:rsidRPr="002259CA">
        <w:rPr>
          <w:rFonts w:ascii="Bembo Std" w:hAnsi="Bembo Std"/>
          <w:sz w:val="24"/>
          <w:szCs w:val="24"/>
        </w:rPr>
        <w:t xml:space="preserve"> decided </w:t>
      </w:r>
      <w:r w:rsidR="0000462D">
        <w:rPr>
          <w:rFonts w:ascii="Bembo Std" w:hAnsi="Bembo Std"/>
          <w:sz w:val="24"/>
          <w:szCs w:val="24"/>
        </w:rPr>
        <w:t>to suspend</w:t>
      </w:r>
      <w:r w:rsidR="00006D76" w:rsidRPr="002259CA">
        <w:rPr>
          <w:rFonts w:ascii="Bembo Std" w:hAnsi="Bembo Std"/>
          <w:sz w:val="24"/>
          <w:szCs w:val="24"/>
        </w:rPr>
        <w:t xml:space="preserve"> investments with Danske Bank until further details </w:t>
      </w:r>
      <w:r w:rsidR="006B20E9" w:rsidRPr="002259CA">
        <w:rPr>
          <w:rFonts w:ascii="Bembo Std" w:hAnsi="Bembo Std"/>
          <w:sz w:val="24"/>
          <w:szCs w:val="24"/>
        </w:rPr>
        <w:t>of</w:t>
      </w:r>
      <w:r w:rsidR="00D73B41" w:rsidRPr="002259CA">
        <w:rPr>
          <w:rFonts w:ascii="Bembo Std" w:hAnsi="Bembo Std"/>
          <w:sz w:val="24"/>
          <w:szCs w:val="24"/>
        </w:rPr>
        <w:t xml:space="preserve"> </w:t>
      </w:r>
      <w:r w:rsidR="006D56D6" w:rsidRPr="002259CA">
        <w:rPr>
          <w:rFonts w:ascii="Bembo Std" w:hAnsi="Bembo Std"/>
          <w:sz w:val="24"/>
          <w:szCs w:val="24"/>
        </w:rPr>
        <w:t xml:space="preserve">any </w:t>
      </w:r>
      <w:r w:rsidR="00D73B41" w:rsidRPr="002259CA">
        <w:rPr>
          <w:rFonts w:ascii="Bembo Std" w:hAnsi="Bembo Std"/>
          <w:sz w:val="24"/>
          <w:szCs w:val="24"/>
        </w:rPr>
        <w:t>fines are made public</w:t>
      </w:r>
      <w:r w:rsidRPr="002259CA">
        <w:rPr>
          <w:rFonts w:ascii="Bembo Std" w:hAnsi="Bembo Std"/>
          <w:sz w:val="24"/>
          <w:szCs w:val="24"/>
        </w:rPr>
        <w:t xml:space="preserve"> regarding Money </w:t>
      </w:r>
      <w:r w:rsidRPr="0000462D">
        <w:rPr>
          <w:rFonts w:ascii="Bembo Std" w:hAnsi="Bembo Std"/>
          <w:sz w:val="24"/>
          <w:szCs w:val="24"/>
        </w:rPr>
        <w:t xml:space="preserve">Laundering </w:t>
      </w:r>
      <w:r w:rsidR="00011598">
        <w:rPr>
          <w:rFonts w:ascii="Bembo Std" w:hAnsi="Bembo Std"/>
          <w:sz w:val="24"/>
          <w:szCs w:val="24"/>
        </w:rPr>
        <w:t xml:space="preserve">identified </w:t>
      </w:r>
      <w:r w:rsidRPr="0000462D">
        <w:rPr>
          <w:rFonts w:ascii="Bembo Std" w:hAnsi="Bembo Std"/>
          <w:sz w:val="24"/>
          <w:szCs w:val="24"/>
        </w:rPr>
        <w:t>at its Estonian branch.</w:t>
      </w:r>
      <w:r w:rsidR="00182D38">
        <w:rPr>
          <w:rFonts w:ascii="Bembo Std" w:hAnsi="Bembo Std"/>
          <w:sz w:val="24"/>
          <w:szCs w:val="24"/>
        </w:rPr>
        <w:t xml:space="preserve"> This is scheduled to be reviewed at the July CCLA Investment Committee meeting.</w:t>
      </w:r>
    </w:p>
    <w:p w14:paraId="25CD4EF4" w14:textId="77777777" w:rsidR="005F3BCE" w:rsidRPr="0000462D" w:rsidRDefault="005F3BCE" w:rsidP="003707CF">
      <w:pPr>
        <w:spacing w:before="60" w:after="60"/>
        <w:jc w:val="both"/>
        <w:rPr>
          <w:rFonts w:ascii="Bembo Std" w:hAnsi="Bembo Std"/>
          <w:sz w:val="24"/>
          <w:szCs w:val="24"/>
        </w:rPr>
      </w:pPr>
    </w:p>
    <w:p w14:paraId="505AABB9" w14:textId="77777777" w:rsidR="009D4892" w:rsidRPr="0000462D" w:rsidRDefault="009D4892" w:rsidP="003707CF">
      <w:pPr>
        <w:spacing w:before="60" w:after="60"/>
        <w:jc w:val="both"/>
        <w:rPr>
          <w:rFonts w:ascii="Bembo Std" w:hAnsi="Bembo Std"/>
          <w:sz w:val="24"/>
          <w:szCs w:val="24"/>
        </w:rPr>
      </w:pPr>
    </w:p>
    <w:p w14:paraId="417AC42E" w14:textId="77777777" w:rsidR="009D4892" w:rsidRPr="0000462D" w:rsidRDefault="009D4892" w:rsidP="003707CF">
      <w:pPr>
        <w:spacing w:before="60" w:after="60"/>
        <w:jc w:val="both"/>
        <w:rPr>
          <w:rFonts w:ascii="Bembo Std" w:hAnsi="Bembo Std"/>
          <w:sz w:val="24"/>
          <w:szCs w:val="24"/>
        </w:rPr>
      </w:pPr>
    </w:p>
    <w:p w14:paraId="1DC4E8BD" w14:textId="77777777" w:rsidR="009D4892" w:rsidRPr="00347ECD" w:rsidRDefault="009D4892" w:rsidP="003707CF">
      <w:pPr>
        <w:spacing w:before="60" w:after="60"/>
        <w:jc w:val="both"/>
        <w:rPr>
          <w:rFonts w:ascii="Bembo Std" w:hAnsi="Bembo Std"/>
          <w:color w:val="000000"/>
          <w:sz w:val="24"/>
          <w:szCs w:val="24"/>
        </w:rPr>
      </w:pPr>
    </w:p>
    <w:p w14:paraId="26214DD7" w14:textId="77777777" w:rsidR="008142AF" w:rsidRPr="00347ECD" w:rsidRDefault="008142AF" w:rsidP="008142AF">
      <w:pPr>
        <w:rPr>
          <w:rFonts w:ascii="Bembo Std" w:hAnsi="Bembo Std" w:cs="Arial"/>
          <w:sz w:val="24"/>
          <w:szCs w:val="24"/>
        </w:rPr>
      </w:pPr>
    </w:p>
    <w:p w14:paraId="66B3E6E7" w14:textId="77777777" w:rsidR="0097184B" w:rsidRPr="00347ECD" w:rsidRDefault="0097184B" w:rsidP="008142AF">
      <w:pPr>
        <w:rPr>
          <w:rFonts w:ascii="Bembo Std" w:hAnsi="Bembo Std" w:cs="Arial"/>
          <w:sz w:val="24"/>
          <w:szCs w:val="24"/>
        </w:rPr>
      </w:pPr>
    </w:p>
    <w:p w14:paraId="1EAE15CB" w14:textId="77777777" w:rsidR="0097184B" w:rsidRPr="00347ECD" w:rsidRDefault="0097184B" w:rsidP="008142AF">
      <w:pPr>
        <w:rPr>
          <w:rFonts w:ascii="Bembo Std" w:hAnsi="Bembo Std" w:cs="Arial"/>
          <w:sz w:val="24"/>
          <w:szCs w:val="24"/>
        </w:rPr>
      </w:pPr>
    </w:p>
    <w:p w14:paraId="1786D97A" w14:textId="77777777" w:rsidR="0097184B" w:rsidRPr="00347ECD" w:rsidRDefault="0097184B" w:rsidP="008142AF">
      <w:pPr>
        <w:rPr>
          <w:rFonts w:ascii="Bembo Std" w:hAnsi="Bembo Std" w:cs="Arial"/>
          <w:sz w:val="24"/>
          <w:szCs w:val="24"/>
        </w:rPr>
      </w:pPr>
    </w:p>
    <w:p w14:paraId="2B51D0CC" w14:textId="77777777" w:rsidR="0097184B" w:rsidRPr="00347ECD" w:rsidRDefault="0097184B" w:rsidP="008142AF">
      <w:pPr>
        <w:rPr>
          <w:rFonts w:ascii="Bembo Std" w:hAnsi="Bembo Std" w:cs="Arial"/>
          <w:sz w:val="24"/>
          <w:szCs w:val="24"/>
        </w:rPr>
      </w:pPr>
    </w:p>
    <w:p w14:paraId="7CC3F3C7" w14:textId="77777777" w:rsidR="0097184B" w:rsidRDefault="0097184B" w:rsidP="008142AF">
      <w:pPr>
        <w:rPr>
          <w:rFonts w:ascii="Bembo Std" w:hAnsi="Bembo Std" w:cs="Arial"/>
          <w:sz w:val="24"/>
          <w:szCs w:val="24"/>
        </w:rPr>
      </w:pPr>
    </w:p>
    <w:p w14:paraId="046C190D" w14:textId="77777777" w:rsidR="001479A1" w:rsidRDefault="001479A1" w:rsidP="008142AF">
      <w:pPr>
        <w:rPr>
          <w:rFonts w:ascii="Bembo Std" w:hAnsi="Bembo Std" w:cs="Arial"/>
          <w:sz w:val="24"/>
          <w:szCs w:val="24"/>
        </w:rPr>
      </w:pPr>
    </w:p>
    <w:p w14:paraId="4209AFA9" w14:textId="77777777" w:rsidR="001479A1" w:rsidRDefault="001479A1" w:rsidP="008142AF">
      <w:pPr>
        <w:rPr>
          <w:rFonts w:ascii="Bembo Std" w:hAnsi="Bembo Std" w:cs="Arial"/>
          <w:sz w:val="24"/>
          <w:szCs w:val="24"/>
        </w:rPr>
      </w:pPr>
    </w:p>
    <w:p w14:paraId="08A4B91E" w14:textId="77777777" w:rsidR="001479A1" w:rsidRDefault="001479A1" w:rsidP="008142AF">
      <w:pPr>
        <w:rPr>
          <w:rFonts w:ascii="Bembo Std" w:hAnsi="Bembo Std" w:cs="Arial"/>
          <w:sz w:val="24"/>
          <w:szCs w:val="24"/>
        </w:rPr>
      </w:pPr>
    </w:p>
    <w:p w14:paraId="325E7BC1" w14:textId="77777777" w:rsidR="001479A1" w:rsidRDefault="001479A1" w:rsidP="008142AF">
      <w:pPr>
        <w:rPr>
          <w:rFonts w:ascii="Bembo Std" w:hAnsi="Bembo Std" w:cs="Arial"/>
          <w:sz w:val="24"/>
          <w:szCs w:val="24"/>
        </w:rPr>
      </w:pPr>
    </w:p>
    <w:p w14:paraId="6DBE7C5E" w14:textId="77777777" w:rsidR="00703D0E" w:rsidRDefault="00703D0E" w:rsidP="008142AF">
      <w:pPr>
        <w:rPr>
          <w:rFonts w:ascii="Bembo Std" w:hAnsi="Bembo Std" w:cs="Arial"/>
          <w:sz w:val="24"/>
          <w:szCs w:val="24"/>
        </w:rPr>
      </w:pPr>
    </w:p>
    <w:p w14:paraId="3FB61982" w14:textId="77777777" w:rsidR="00703D0E" w:rsidRDefault="00703D0E" w:rsidP="008142AF">
      <w:pPr>
        <w:rPr>
          <w:rFonts w:ascii="Bembo Std" w:hAnsi="Bembo Std" w:cs="Arial"/>
          <w:sz w:val="24"/>
          <w:szCs w:val="24"/>
        </w:rPr>
      </w:pPr>
    </w:p>
    <w:p w14:paraId="47FD77B4" w14:textId="77777777" w:rsidR="00C60E66" w:rsidRDefault="00C60E66" w:rsidP="008142AF">
      <w:pPr>
        <w:rPr>
          <w:rFonts w:ascii="Bembo Std" w:hAnsi="Bembo Std" w:cs="Arial"/>
          <w:sz w:val="24"/>
          <w:szCs w:val="24"/>
        </w:rPr>
      </w:pPr>
    </w:p>
    <w:p w14:paraId="61E6084F" w14:textId="77777777" w:rsidR="00C60E66" w:rsidRDefault="00C60E66" w:rsidP="008142AF">
      <w:pPr>
        <w:rPr>
          <w:rFonts w:ascii="Bembo Std" w:hAnsi="Bembo Std" w:cs="Arial"/>
          <w:sz w:val="24"/>
          <w:szCs w:val="24"/>
        </w:rPr>
      </w:pPr>
    </w:p>
    <w:p w14:paraId="50D9A952" w14:textId="77777777" w:rsidR="00C60E66" w:rsidRDefault="00C60E66" w:rsidP="008142AF">
      <w:pPr>
        <w:rPr>
          <w:rFonts w:ascii="Bembo Std" w:hAnsi="Bembo Std" w:cs="Arial"/>
          <w:sz w:val="24"/>
          <w:szCs w:val="24"/>
        </w:rPr>
      </w:pPr>
    </w:p>
    <w:p w14:paraId="49419AD6" w14:textId="77777777" w:rsidR="00C60E66" w:rsidRDefault="00C60E66" w:rsidP="008142AF">
      <w:pPr>
        <w:rPr>
          <w:rFonts w:ascii="Bembo Std" w:hAnsi="Bembo Std" w:cs="Arial"/>
          <w:sz w:val="24"/>
          <w:szCs w:val="24"/>
        </w:rPr>
      </w:pPr>
    </w:p>
    <w:p w14:paraId="74DDDABB" w14:textId="77777777" w:rsidR="00C60E66" w:rsidRDefault="00C60E66" w:rsidP="008142AF">
      <w:pPr>
        <w:rPr>
          <w:rFonts w:ascii="Bembo Std" w:hAnsi="Bembo Std" w:cs="Arial"/>
          <w:sz w:val="24"/>
          <w:szCs w:val="24"/>
        </w:rPr>
      </w:pPr>
    </w:p>
    <w:p w14:paraId="7E1D33B6" w14:textId="77777777" w:rsidR="00703D0E" w:rsidRDefault="00703D0E" w:rsidP="008142AF">
      <w:pPr>
        <w:rPr>
          <w:rFonts w:ascii="Bembo Std" w:hAnsi="Bembo Std" w:cs="Arial"/>
          <w:sz w:val="24"/>
          <w:szCs w:val="24"/>
        </w:rPr>
      </w:pPr>
    </w:p>
    <w:p w14:paraId="4155D004" w14:textId="77777777" w:rsidR="00703D0E" w:rsidRDefault="00703D0E" w:rsidP="008142AF">
      <w:pPr>
        <w:rPr>
          <w:rFonts w:ascii="Bembo Std" w:hAnsi="Bembo Std" w:cs="Arial"/>
          <w:sz w:val="24"/>
          <w:szCs w:val="24"/>
        </w:rPr>
      </w:pPr>
    </w:p>
    <w:p w14:paraId="141A0FE2" w14:textId="77777777" w:rsidR="00703D0E" w:rsidRDefault="00703D0E" w:rsidP="008142AF">
      <w:pPr>
        <w:rPr>
          <w:rFonts w:ascii="Bembo Std" w:hAnsi="Bembo Std" w:cs="Arial"/>
          <w:sz w:val="24"/>
          <w:szCs w:val="24"/>
        </w:rPr>
      </w:pPr>
    </w:p>
    <w:p w14:paraId="46E01031" w14:textId="77777777" w:rsidR="00703D0E" w:rsidRDefault="00703D0E" w:rsidP="008142AF">
      <w:pPr>
        <w:rPr>
          <w:rFonts w:ascii="Bembo Std" w:hAnsi="Bembo Std" w:cs="Arial"/>
          <w:sz w:val="24"/>
          <w:szCs w:val="24"/>
        </w:rPr>
      </w:pPr>
    </w:p>
    <w:p w14:paraId="1CD9FF65" w14:textId="77777777" w:rsidR="0030552A" w:rsidRPr="00347ECD" w:rsidRDefault="00524C00" w:rsidP="00867E19">
      <w:pPr>
        <w:spacing w:before="60"/>
        <w:jc w:val="both"/>
        <w:rPr>
          <w:rFonts w:ascii="Bembo Std" w:hAnsi="Bembo Std"/>
          <w:color w:val="000000"/>
          <w:sz w:val="24"/>
          <w:szCs w:val="24"/>
          <w:u w:val="single"/>
        </w:rPr>
      </w:pPr>
      <w:r w:rsidRPr="00347ECD">
        <w:rPr>
          <w:rFonts w:ascii="Bembo Std" w:hAnsi="Bembo Std"/>
          <w:color w:val="000000"/>
          <w:sz w:val="24"/>
          <w:szCs w:val="24"/>
          <w:u w:val="single"/>
        </w:rPr>
        <w:lastRenderedPageBreak/>
        <w:t xml:space="preserve">The PSDF </w:t>
      </w:r>
      <w:r w:rsidR="0000462D" w:rsidRPr="0000462D">
        <w:rPr>
          <w:rFonts w:ascii="Bembo Std" w:hAnsi="Bembo Std"/>
          <w:color w:val="000000"/>
          <w:sz w:val="24"/>
          <w:szCs w:val="24"/>
          <w:u w:val="single"/>
        </w:rPr>
        <w:t xml:space="preserve">Approved List of Financial Institutions </w:t>
      </w:r>
      <w:r w:rsidRPr="00347ECD">
        <w:rPr>
          <w:rFonts w:ascii="Bembo Std" w:hAnsi="Bembo Std"/>
          <w:color w:val="000000"/>
          <w:sz w:val="24"/>
          <w:szCs w:val="24"/>
          <w:u w:val="single"/>
        </w:rPr>
        <w:t xml:space="preserve">as </w:t>
      </w:r>
      <w:r w:rsidR="00893681">
        <w:rPr>
          <w:rFonts w:ascii="Bembo Std" w:hAnsi="Bembo Std"/>
          <w:color w:val="000000"/>
          <w:sz w:val="24"/>
          <w:szCs w:val="24"/>
          <w:u w:val="single"/>
        </w:rPr>
        <w:t>of 30 June</w:t>
      </w:r>
      <w:r w:rsidR="00186AD6">
        <w:rPr>
          <w:rFonts w:ascii="Bembo Std" w:hAnsi="Bembo Std"/>
          <w:sz w:val="24"/>
          <w:szCs w:val="24"/>
          <w:u w:val="single"/>
        </w:rPr>
        <w:t xml:space="preserve"> 2022</w:t>
      </w:r>
    </w:p>
    <w:tbl>
      <w:tblPr>
        <w:tblpPr w:leftFromText="180" w:rightFromText="180" w:vertAnchor="text" w:horzAnchor="margin" w:tblpY="161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503"/>
        <w:gridCol w:w="501"/>
        <w:gridCol w:w="656"/>
        <w:gridCol w:w="637"/>
        <w:gridCol w:w="489"/>
        <w:gridCol w:w="563"/>
        <w:gridCol w:w="603"/>
        <w:gridCol w:w="483"/>
        <w:gridCol w:w="677"/>
        <w:gridCol w:w="470"/>
        <w:gridCol w:w="723"/>
      </w:tblGrid>
      <w:tr w:rsidR="006D383E" w:rsidRPr="00D9487D" w14:paraId="461E0485" w14:textId="77777777" w:rsidTr="007F3D94">
        <w:trPr>
          <w:trHeight w:val="394"/>
        </w:trPr>
        <w:tc>
          <w:tcPr>
            <w:tcW w:w="2863" w:type="dxa"/>
            <w:shd w:val="clear" w:color="auto" w:fill="00B050"/>
            <w:vAlign w:val="center"/>
          </w:tcPr>
          <w:p w14:paraId="72278621" w14:textId="77777777" w:rsidR="006D383E" w:rsidRPr="00E83700" w:rsidRDefault="006D383E" w:rsidP="004960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PSDF Approved </w:t>
            </w:r>
            <w:r w:rsidR="008015E3">
              <w:rPr>
                <w:rFonts w:cs="Arial"/>
                <w:sz w:val="16"/>
                <w:szCs w:val="16"/>
              </w:rPr>
              <w:t>Financial Institutions</w:t>
            </w:r>
          </w:p>
          <w:p w14:paraId="715181EB" w14:textId="77777777" w:rsidR="006D383E" w:rsidRPr="00E83700" w:rsidRDefault="006D383E" w:rsidP="004960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E6E6E6"/>
            <w:vAlign w:val="center"/>
          </w:tcPr>
          <w:p w14:paraId="5EF1FDCB" w14:textId="77777777" w:rsidR="006D383E" w:rsidRPr="00D9487D" w:rsidRDefault="006D383E" w:rsidP="0049605A">
            <w:pPr>
              <w:rPr>
                <w:rFonts w:cs="Arial"/>
                <w:sz w:val="12"/>
                <w:szCs w:val="12"/>
              </w:rPr>
            </w:pPr>
            <w:r w:rsidRPr="00D9487D">
              <w:rPr>
                <w:rFonts w:cs="Arial"/>
                <w:sz w:val="12"/>
                <w:szCs w:val="12"/>
              </w:rPr>
              <w:t>Fitch  Short</w:t>
            </w:r>
          </w:p>
        </w:tc>
        <w:tc>
          <w:tcPr>
            <w:tcW w:w="501" w:type="dxa"/>
            <w:shd w:val="clear" w:color="auto" w:fill="E6E6E6"/>
            <w:vAlign w:val="center"/>
          </w:tcPr>
          <w:p w14:paraId="04A24478" w14:textId="77777777" w:rsidR="006D383E" w:rsidRPr="00D9487D" w:rsidRDefault="006D383E" w:rsidP="0049605A">
            <w:pPr>
              <w:rPr>
                <w:rFonts w:cs="Arial"/>
                <w:sz w:val="12"/>
                <w:szCs w:val="12"/>
              </w:rPr>
            </w:pPr>
            <w:r w:rsidRPr="00D9487D">
              <w:rPr>
                <w:rFonts w:cs="Arial"/>
                <w:sz w:val="12"/>
                <w:szCs w:val="12"/>
              </w:rPr>
              <w:t>Fitch Long</w:t>
            </w:r>
          </w:p>
        </w:tc>
        <w:tc>
          <w:tcPr>
            <w:tcW w:w="656" w:type="dxa"/>
            <w:shd w:val="clear" w:color="auto" w:fill="E6E6E6"/>
            <w:vAlign w:val="center"/>
          </w:tcPr>
          <w:p w14:paraId="60295C66" w14:textId="77777777" w:rsidR="006D383E" w:rsidRDefault="006D383E" w:rsidP="0049605A">
            <w:pPr>
              <w:rPr>
                <w:rFonts w:cs="Arial"/>
                <w:sz w:val="12"/>
                <w:szCs w:val="12"/>
              </w:rPr>
            </w:pPr>
          </w:p>
          <w:p w14:paraId="2DCAA6B9" w14:textId="77777777" w:rsidR="006D383E" w:rsidRPr="00D9487D" w:rsidRDefault="006D383E" w:rsidP="0049605A">
            <w:pPr>
              <w:rPr>
                <w:rFonts w:cs="Arial"/>
                <w:sz w:val="12"/>
                <w:szCs w:val="12"/>
              </w:rPr>
            </w:pPr>
            <w:r w:rsidRPr="00D9487D">
              <w:rPr>
                <w:rFonts w:cs="Arial"/>
                <w:sz w:val="12"/>
                <w:szCs w:val="12"/>
              </w:rPr>
              <w:t>Fitch</w:t>
            </w:r>
          </w:p>
          <w:p w14:paraId="526ACFBD" w14:textId="77777777" w:rsidR="006D383E" w:rsidRDefault="006D383E" w:rsidP="0049605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WATCH</w:t>
            </w:r>
          </w:p>
          <w:p w14:paraId="66B058E7" w14:textId="77777777" w:rsidR="006D383E" w:rsidRPr="00D9487D" w:rsidRDefault="006D383E" w:rsidP="0049605A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637" w:type="dxa"/>
            <w:shd w:val="clear" w:color="auto" w:fill="E6E6E6"/>
            <w:vAlign w:val="center"/>
          </w:tcPr>
          <w:p w14:paraId="164F8E8E" w14:textId="77777777" w:rsidR="006D383E" w:rsidRPr="00D9487D" w:rsidRDefault="006D383E" w:rsidP="0049605A">
            <w:pPr>
              <w:rPr>
                <w:rFonts w:cs="Arial"/>
                <w:sz w:val="12"/>
                <w:szCs w:val="12"/>
              </w:rPr>
            </w:pPr>
            <w:r w:rsidRPr="00D9487D">
              <w:rPr>
                <w:rFonts w:cs="Arial"/>
                <w:sz w:val="12"/>
                <w:szCs w:val="12"/>
              </w:rPr>
              <w:t>M</w:t>
            </w:r>
            <w:r>
              <w:rPr>
                <w:rFonts w:cs="Arial"/>
                <w:sz w:val="12"/>
                <w:szCs w:val="12"/>
              </w:rPr>
              <w:t>oo</w:t>
            </w:r>
            <w:r w:rsidRPr="00D9487D">
              <w:rPr>
                <w:rFonts w:cs="Arial"/>
                <w:sz w:val="12"/>
                <w:szCs w:val="12"/>
              </w:rPr>
              <w:t>dys</w:t>
            </w:r>
          </w:p>
        </w:tc>
        <w:tc>
          <w:tcPr>
            <w:tcW w:w="489" w:type="dxa"/>
            <w:shd w:val="clear" w:color="auto" w:fill="E6E6E6"/>
            <w:vAlign w:val="center"/>
          </w:tcPr>
          <w:p w14:paraId="051CA200" w14:textId="77777777" w:rsidR="006D383E" w:rsidRPr="00D9487D" w:rsidRDefault="006D383E" w:rsidP="0049605A">
            <w:pPr>
              <w:rPr>
                <w:rFonts w:cs="Arial"/>
                <w:sz w:val="12"/>
                <w:szCs w:val="12"/>
              </w:rPr>
            </w:pPr>
            <w:r w:rsidRPr="00D9487D">
              <w:rPr>
                <w:rFonts w:cs="Arial"/>
                <w:sz w:val="12"/>
                <w:szCs w:val="12"/>
              </w:rPr>
              <w:t>S&amp;P</w:t>
            </w:r>
          </w:p>
        </w:tc>
        <w:tc>
          <w:tcPr>
            <w:tcW w:w="563" w:type="dxa"/>
            <w:shd w:val="clear" w:color="auto" w:fill="E6E6E6"/>
            <w:vAlign w:val="center"/>
          </w:tcPr>
          <w:p w14:paraId="367F8742" w14:textId="77777777" w:rsidR="006D383E" w:rsidRPr="00D9487D" w:rsidRDefault="006D383E" w:rsidP="0049605A">
            <w:pPr>
              <w:rPr>
                <w:rFonts w:cs="Arial"/>
                <w:sz w:val="12"/>
                <w:szCs w:val="12"/>
              </w:rPr>
            </w:pPr>
            <w:r w:rsidRPr="00D9487D">
              <w:rPr>
                <w:rFonts w:cs="Arial"/>
                <w:sz w:val="12"/>
                <w:szCs w:val="12"/>
              </w:rPr>
              <w:t>DBRS</w:t>
            </w:r>
          </w:p>
        </w:tc>
        <w:tc>
          <w:tcPr>
            <w:tcW w:w="603" w:type="dxa"/>
            <w:shd w:val="clear" w:color="auto" w:fill="E6E6E6"/>
          </w:tcPr>
          <w:p w14:paraId="5574BDBA" w14:textId="77777777" w:rsidR="006D383E" w:rsidRDefault="006D383E" w:rsidP="0049605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br/>
              <w:t>Rate</w:t>
            </w:r>
            <w:r>
              <w:rPr>
                <w:rFonts w:cs="Arial"/>
                <w:sz w:val="12"/>
                <w:szCs w:val="12"/>
              </w:rPr>
              <w:br/>
              <w:t>Criteria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A9F5EBC" w14:textId="77777777" w:rsidR="006D383E" w:rsidRDefault="006D383E" w:rsidP="0049605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Total</w:t>
            </w:r>
          </w:p>
          <w:p w14:paraId="4F024E27" w14:textId="77777777" w:rsidR="006D383E" w:rsidRPr="00D9487D" w:rsidRDefault="006D383E" w:rsidP="0049605A">
            <w:pPr>
              <w:rPr>
                <w:rFonts w:cs="Arial"/>
                <w:sz w:val="12"/>
                <w:szCs w:val="12"/>
              </w:rPr>
            </w:pPr>
            <w:r w:rsidRPr="00D9487D">
              <w:rPr>
                <w:rFonts w:cs="Arial"/>
                <w:sz w:val="12"/>
                <w:szCs w:val="12"/>
              </w:rPr>
              <w:t>Limit</w:t>
            </w:r>
            <w:r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677" w:type="dxa"/>
            <w:shd w:val="clear" w:color="auto" w:fill="E6E6E6"/>
          </w:tcPr>
          <w:p w14:paraId="267D11C0" w14:textId="77777777" w:rsidR="006D383E" w:rsidRDefault="006D383E" w:rsidP="0049605A">
            <w:pPr>
              <w:rPr>
                <w:rFonts w:cs="Arial"/>
                <w:sz w:val="12"/>
                <w:szCs w:val="12"/>
              </w:rPr>
            </w:pPr>
          </w:p>
          <w:p w14:paraId="271EB596" w14:textId="77777777" w:rsidR="006D383E" w:rsidRDefault="006D383E" w:rsidP="0049605A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Total Expos</w:t>
            </w:r>
          </w:p>
          <w:p w14:paraId="6029163B" w14:textId="77777777" w:rsidR="006D383E" w:rsidRPr="00D9487D" w:rsidRDefault="006D383E" w:rsidP="0049605A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14:paraId="2346AE00" w14:textId="77777777" w:rsidR="006D383E" w:rsidRPr="00D9487D" w:rsidRDefault="006D383E" w:rsidP="0049605A">
            <w:pPr>
              <w:rPr>
                <w:rFonts w:cs="Arial"/>
                <w:sz w:val="12"/>
                <w:szCs w:val="12"/>
              </w:rPr>
            </w:pPr>
            <w:r w:rsidRPr="00D9487D">
              <w:rPr>
                <w:rFonts w:cs="Arial"/>
                <w:sz w:val="12"/>
                <w:szCs w:val="12"/>
              </w:rPr>
              <w:t>Limit</w:t>
            </w:r>
            <w:r>
              <w:rPr>
                <w:rFonts w:cs="Arial"/>
                <w:sz w:val="12"/>
                <w:szCs w:val="12"/>
              </w:rPr>
              <w:t xml:space="preserve"> &gt;7 days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698E044C" w14:textId="77777777" w:rsidR="006D383E" w:rsidRDefault="006D383E" w:rsidP="0049605A">
            <w:pPr>
              <w:jc w:val="center"/>
              <w:rPr>
                <w:rFonts w:cs="Arial"/>
                <w:sz w:val="12"/>
                <w:szCs w:val="12"/>
              </w:rPr>
            </w:pPr>
            <w:r w:rsidRPr="00D9487D">
              <w:rPr>
                <w:rFonts w:cs="Arial"/>
                <w:sz w:val="12"/>
                <w:szCs w:val="12"/>
              </w:rPr>
              <w:t>Exposure</w:t>
            </w:r>
          </w:p>
          <w:p w14:paraId="0847D0B2" w14:textId="77777777" w:rsidR="006D383E" w:rsidRPr="00D9487D" w:rsidRDefault="006D383E" w:rsidP="0049605A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&gt; 7 days</w:t>
            </w:r>
          </w:p>
        </w:tc>
      </w:tr>
      <w:tr w:rsidR="00893681" w:rsidRPr="007F3D94" w14:paraId="1307E43E" w14:textId="77777777" w:rsidTr="00201F26">
        <w:trPr>
          <w:trHeight w:val="200"/>
        </w:trPr>
        <w:tc>
          <w:tcPr>
            <w:tcW w:w="2863" w:type="dxa"/>
          </w:tcPr>
          <w:p w14:paraId="08A04394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ABN Amro Bank N.V.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2F6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  <w:lang w:eastAsia="en-GB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437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AC7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CCE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E5E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772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614227D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D80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15E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  <w:lang w:eastAsia="en-GB"/>
              </w:rPr>
            </w:pPr>
            <w:r w:rsidRPr="00FD5E22">
              <w:rPr>
                <w:sz w:val="12"/>
                <w:szCs w:val="12"/>
              </w:rPr>
              <w:t xml:space="preserve"> 3.81 %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4A8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000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2.86 %</w:t>
            </w:r>
          </w:p>
        </w:tc>
      </w:tr>
      <w:tr w:rsidR="00893681" w:rsidRPr="007F3D94" w14:paraId="74C823A5" w14:textId="77777777" w:rsidTr="00201F26">
        <w:trPr>
          <w:trHeight w:val="200"/>
        </w:trPr>
        <w:tc>
          <w:tcPr>
            <w:tcW w:w="2863" w:type="dxa"/>
          </w:tcPr>
          <w:p w14:paraId="30CBD91E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Bank of America N.A.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2F6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BA7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18D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ACC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331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D8E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1B47931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1D3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BFD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746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1A7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21140F75" w14:textId="77777777" w:rsidTr="00201F26">
        <w:trPr>
          <w:trHeight w:val="200"/>
        </w:trPr>
        <w:tc>
          <w:tcPr>
            <w:tcW w:w="2863" w:type="dxa"/>
          </w:tcPr>
          <w:p w14:paraId="3D0C62E8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Australia and New Zealand Banking Group Limited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42C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FC9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3CB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090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0F6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CA6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77D2493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441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8F2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0.48 %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D91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D58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0.48 %</w:t>
            </w:r>
          </w:p>
        </w:tc>
      </w:tr>
      <w:tr w:rsidR="00893681" w:rsidRPr="007F3D94" w14:paraId="0F372A06" w14:textId="77777777" w:rsidTr="00201F26">
        <w:trPr>
          <w:trHeight w:val="200"/>
        </w:trPr>
        <w:tc>
          <w:tcPr>
            <w:tcW w:w="2863" w:type="dxa"/>
          </w:tcPr>
          <w:p w14:paraId="19A1C191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Barclays Bank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84C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D3D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70D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A9F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21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855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R1L </w:t>
            </w:r>
          </w:p>
        </w:tc>
        <w:tc>
          <w:tcPr>
            <w:tcW w:w="603" w:type="dxa"/>
          </w:tcPr>
          <w:p w14:paraId="4786392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E2F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F37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3.81 %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0E9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150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3.81 %</w:t>
            </w:r>
          </w:p>
        </w:tc>
      </w:tr>
      <w:tr w:rsidR="00893681" w:rsidRPr="007F3D94" w14:paraId="71C71E96" w14:textId="77777777" w:rsidTr="00201F26">
        <w:trPr>
          <w:trHeight w:val="200"/>
        </w:trPr>
        <w:tc>
          <w:tcPr>
            <w:tcW w:w="2863" w:type="dxa"/>
          </w:tcPr>
          <w:p w14:paraId="5253ED6A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Barclays Bank UK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CF0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13D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061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5D0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744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406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R1L </w:t>
            </w:r>
          </w:p>
        </w:tc>
        <w:tc>
          <w:tcPr>
            <w:tcW w:w="603" w:type="dxa"/>
          </w:tcPr>
          <w:p w14:paraId="1EEBA37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A46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49B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1D4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8D0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09B775BB" w14:textId="77777777" w:rsidTr="00201F26">
        <w:trPr>
          <w:trHeight w:val="200"/>
        </w:trPr>
        <w:tc>
          <w:tcPr>
            <w:tcW w:w="2863" w:type="dxa"/>
          </w:tcPr>
          <w:p w14:paraId="7EED4BC9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Bank of Scotland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626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7B3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A67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6FD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00F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D61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6031AEB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55D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D00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7BE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15B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050EC103" w14:textId="77777777" w:rsidTr="00201F26">
        <w:trPr>
          <w:trHeight w:val="200"/>
        </w:trPr>
        <w:tc>
          <w:tcPr>
            <w:tcW w:w="2863" w:type="dxa"/>
          </w:tcPr>
          <w:p w14:paraId="5E2C4A84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BNP Paribas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A40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DCC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C34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1DC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551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DB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4941997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16F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EC2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4.29 %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AB4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6A9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4.29 %</w:t>
            </w:r>
          </w:p>
        </w:tc>
      </w:tr>
      <w:tr w:rsidR="00893681" w:rsidRPr="007F3D94" w14:paraId="001A8C05" w14:textId="77777777" w:rsidTr="00201F26">
        <w:trPr>
          <w:trHeight w:val="200"/>
        </w:trPr>
        <w:tc>
          <w:tcPr>
            <w:tcW w:w="2863" w:type="dxa"/>
          </w:tcPr>
          <w:p w14:paraId="220F3781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Bank of Montreal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182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0E5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64C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5CA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EA4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988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27AEB6A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152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D1F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9.91 %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AA6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C61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1.43 %</w:t>
            </w:r>
          </w:p>
        </w:tc>
      </w:tr>
      <w:tr w:rsidR="00893681" w:rsidRPr="007F3D94" w14:paraId="3F6D8F99" w14:textId="77777777" w:rsidTr="00201F26">
        <w:trPr>
          <w:trHeight w:val="200"/>
        </w:trPr>
        <w:tc>
          <w:tcPr>
            <w:tcW w:w="2863" w:type="dxa"/>
          </w:tcPr>
          <w:p w14:paraId="157A54B1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Bank of New York Mellon (The)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B89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044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1DD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9B0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0D8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AD2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3BC5276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AF8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6D4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59D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5C6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287BB9BF" w14:textId="77777777" w:rsidTr="00201F26">
        <w:trPr>
          <w:trHeight w:val="200"/>
        </w:trPr>
        <w:tc>
          <w:tcPr>
            <w:tcW w:w="2863" w:type="dxa"/>
          </w:tcPr>
          <w:p w14:paraId="692ABDCA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Bank of Nova Scotia (The)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ED1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44C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58D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D07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9DC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C3D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5DBD11C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D10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26E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0.10 %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11F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AE8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73D13B04" w14:textId="77777777" w:rsidTr="00201F26">
        <w:trPr>
          <w:trHeight w:val="200"/>
        </w:trPr>
        <w:tc>
          <w:tcPr>
            <w:tcW w:w="2863" w:type="dxa"/>
          </w:tcPr>
          <w:p w14:paraId="2D91AC6E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Credit Agricole Corporate and Investment Bank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BBD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3D0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6DD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B13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92F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283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692F280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BBC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AB9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2.86 %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767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101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2.86 %</w:t>
            </w:r>
          </w:p>
        </w:tc>
      </w:tr>
      <w:tr w:rsidR="00893681" w:rsidRPr="007F3D94" w14:paraId="63ADD2BB" w14:textId="77777777" w:rsidTr="00201F26">
        <w:trPr>
          <w:trHeight w:val="200"/>
        </w:trPr>
        <w:tc>
          <w:tcPr>
            <w:tcW w:w="2863" w:type="dxa"/>
          </w:tcPr>
          <w:p w14:paraId="3CD20CC7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Commonwealth Bank of Australia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FFB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E08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B5D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DD8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672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2EF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7A5E624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AEC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087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0.29 %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080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F61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0.29 %</w:t>
            </w:r>
          </w:p>
        </w:tc>
      </w:tr>
      <w:tr w:rsidR="00893681" w:rsidRPr="007F3D94" w14:paraId="637E1728" w14:textId="77777777" w:rsidTr="00201F26">
        <w:trPr>
          <w:trHeight w:val="200"/>
        </w:trPr>
        <w:tc>
          <w:tcPr>
            <w:tcW w:w="2863" w:type="dxa"/>
          </w:tcPr>
          <w:p w14:paraId="1E7A2BDF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Canadian Imperial Bank of Commerce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DEF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1C4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822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A1A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5AC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E0C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49D7086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8C7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7F0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0.48 %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5E2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D40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0.48 %</w:t>
            </w:r>
          </w:p>
        </w:tc>
      </w:tr>
      <w:tr w:rsidR="00893681" w:rsidRPr="007F3D94" w14:paraId="02496529" w14:textId="77777777" w:rsidTr="00201F26">
        <w:trPr>
          <w:trHeight w:val="200"/>
        </w:trPr>
        <w:tc>
          <w:tcPr>
            <w:tcW w:w="2863" w:type="dxa"/>
          </w:tcPr>
          <w:p w14:paraId="774B4FD7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Credit Industriel et Commercial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E40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341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414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FC4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38C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25F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3A86E9C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D6A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B09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2.38 %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73B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AA9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0.95 %</w:t>
            </w:r>
          </w:p>
        </w:tc>
      </w:tr>
      <w:tr w:rsidR="00893681" w:rsidRPr="007F3D94" w14:paraId="4A352C3C" w14:textId="77777777" w:rsidTr="00201F26">
        <w:trPr>
          <w:trHeight w:val="200"/>
        </w:trPr>
        <w:tc>
          <w:tcPr>
            <w:tcW w:w="2863" w:type="dxa"/>
          </w:tcPr>
          <w:p w14:paraId="54BA8480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Citibank N.A.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FB9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BF9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3D9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FBD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D70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F28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0E61B7E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167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CA5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1.91 %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4AA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54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1.91 %</w:t>
            </w:r>
          </w:p>
        </w:tc>
      </w:tr>
      <w:tr w:rsidR="00893681" w:rsidRPr="007F3D94" w14:paraId="11013013" w14:textId="77777777" w:rsidTr="00201F26">
        <w:trPr>
          <w:trHeight w:val="200"/>
        </w:trPr>
        <w:tc>
          <w:tcPr>
            <w:tcW w:w="2863" w:type="dxa"/>
          </w:tcPr>
          <w:p w14:paraId="74EEC9AB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Coventry Building Society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971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0B7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EAB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319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248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25F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5A9842E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2F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E4F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79A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A03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74CB5B53" w14:textId="77777777" w:rsidTr="00201F26">
        <w:trPr>
          <w:trHeight w:val="200"/>
        </w:trPr>
        <w:tc>
          <w:tcPr>
            <w:tcW w:w="2863" w:type="dxa"/>
          </w:tcPr>
          <w:p w14:paraId="759E0C2F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Danske Bank AS (suspended)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6B9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990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EC2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4DA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P2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4C4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B5D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R1L </w:t>
            </w:r>
          </w:p>
        </w:tc>
        <w:tc>
          <w:tcPr>
            <w:tcW w:w="603" w:type="dxa"/>
          </w:tcPr>
          <w:p w14:paraId="209F59C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50B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FDA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D27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889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13D252C7" w14:textId="77777777" w:rsidTr="00201F26">
        <w:trPr>
          <w:trHeight w:val="200"/>
        </w:trPr>
        <w:tc>
          <w:tcPr>
            <w:tcW w:w="2863" w:type="dxa"/>
          </w:tcPr>
          <w:p w14:paraId="387B881F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DBS Bank Limited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E89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1F8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784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12E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181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DA9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344A6B9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30E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5FE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6.67 %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599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D26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trike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6F9C1878" w14:textId="77777777" w:rsidTr="00201F26">
        <w:trPr>
          <w:trHeight w:val="200"/>
        </w:trPr>
        <w:tc>
          <w:tcPr>
            <w:tcW w:w="2863" w:type="dxa"/>
          </w:tcPr>
          <w:p w14:paraId="06BE5218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DNB ASA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263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722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68B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C5F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947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274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2890742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FB0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029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2.38 %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C8D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42A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1.43 %</w:t>
            </w:r>
          </w:p>
        </w:tc>
      </w:tr>
      <w:tr w:rsidR="00893681" w:rsidRPr="007F3D94" w14:paraId="248D643C" w14:textId="77777777" w:rsidTr="00201F26">
        <w:trPr>
          <w:trHeight w:val="200"/>
        </w:trPr>
        <w:tc>
          <w:tcPr>
            <w:tcW w:w="2863" w:type="dxa"/>
          </w:tcPr>
          <w:p w14:paraId="5263B3F2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Deutsche Zentral-Genossenschaftsbank (DZ Bank AG)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2A9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07B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28E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2B3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960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1A6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03CDFB2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705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9DE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4.29 %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95E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FFC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4.29 %</w:t>
            </w:r>
          </w:p>
        </w:tc>
      </w:tr>
      <w:tr w:rsidR="00893681" w:rsidRPr="007F3D94" w14:paraId="0FAFB1DB" w14:textId="77777777" w:rsidTr="00201F26">
        <w:trPr>
          <w:trHeight w:val="200"/>
        </w:trPr>
        <w:tc>
          <w:tcPr>
            <w:tcW w:w="2863" w:type="dxa"/>
          </w:tcPr>
          <w:p w14:paraId="5F4B1275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HM Treasury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095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2B9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29A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D7C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3E5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874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457F189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21D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0B8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17A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504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315F99C6" w14:textId="77777777" w:rsidTr="00201F26">
        <w:trPr>
          <w:trHeight w:val="200"/>
        </w:trPr>
        <w:tc>
          <w:tcPr>
            <w:tcW w:w="2863" w:type="dxa"/>
          </w:tcPr>
          <w:p w14:paraId="6246D927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Handelsbanken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88A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668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210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531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D77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29D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14E43AB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24C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6C7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4.29 %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DA7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79B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4.29 %</w:t>
            </w:r>
          </w:p>
        </w:tc>
      </w:tr>
      <w:tr w:rsidR="00893681" w:rsidRPr="007F3D94" w14:paraId="0F5EEB22" w14:textId="77777777" w:rsidTr="00201F26">
        <w:trPr>
          <w:trHeight w:val="200"/>
        </w:trPr>
        <w:tc>
          <w:tcPr>
            <w:tcW w:w="2863" w:type="dxa"/>
          </w:tcPr>
          <w:p w14:paraId="3B9B214A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HSBC Bank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DDF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FF0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EB1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9DB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061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6CD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100C3F1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C21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1F2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0.14 %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445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106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25330584" w14:textId="77777777" w:rsidTr="00201F26">
        <w:trPr>
          <w:trHeight w:val="200"/>
        </w:trPr>
        <w:tc>
          <w:tcPr>
            <w:tcW w:w="2863" w:type="dxa"/>
          </w:tcPr>
          <w:p w14:paraId="476F4068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HSBC UK Bank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B37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D1D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EC2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DC0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905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A36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53E8A6A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198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271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398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FB5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70A6FBB4" w14:textId="77777777" w:rsidTr="00201F26">
        <w:trPr>
          <w:trHeight w:val="200"/>
        </w:trPr>
        <w:tc>
          <w:tcPr>
            <w:tcW w:w="2863" w:type="dxa"/>
          </w:tcPr>
          <w:p w14:paraId="31674D8E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JP Morgan Chase Bank N.A.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07B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F99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5CC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950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6A7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216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02ED662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867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501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909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017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4922E771" w14:textId="77777777" w:rsidTr="00201F26">
        <w:trPr>
          <w:trHeight w:val="200"/>
        </w:trPr>
        <w:tc>
          <w:tcPr>
            <w:tcW w:w="2863" w:type="dxa"/>
          </w:tcPr>
          <w:p w14:paraId="5113164F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ING Bank N.V.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C08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96C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BEF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A4F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3BE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9C4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7E2D58C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324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68B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302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50E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46F8118E" w14:textId="77777777" w:rsidTr="00201F26">
        <w:trPr>
          <w:trHeight w:val="200"/>
        </w:trPr>
        <w:tc>
          <w:tcPr>
            <w:tcW w:w="2863" w:type="dxa"/>
          </w:tcPr>
          <w:p w14:paraId="5B15A9FF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KBC Bank N.V.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949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855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844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DB2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F6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C51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R1L </w:t>
            </w:r>
          </w:p>
        </w:tc>
        <w:tc>
          <w:tcPr>
            <w:tcW w:w="603" w:type="dxa"/>
          </w:tcPr>
          <w:p w14:paraId="4726215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A96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862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EAB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68C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76CE2A33" w14:textId="77777777" w:rsidTr="00201F26">
        <w:trPr>
          <w:trHeight w:val="200"/>
        </w:trPr>
        <w:tc>
          <w:tcPr>
            <w:tcW w:w="2863" w:type="dxa"/>
          </w:tcPr>
          <w:p w14:paraId="35C65E50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Landesbank Baden-Wuerttemberg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E1D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4A4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56B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8AE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041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61A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49E3730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5C1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ACA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9.91 %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A1D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C75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75C3C332" w14:textId="77777777" w:rsidTr="00201F26">
        <w:trPr>
          <w:trHeight w:val="200"/>
        </w:trPr>
        <w:tc>
          <w:tcPr>
            <w:tcW w:w="2863" w:type="dxa"/>
          </w:tcPr>
          <w:p w14:paraId="5E35EAA0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Landesbank Hessen-Thueringen Girozentrale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DEF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26E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89B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F9C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52A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CB7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4153AFE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027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748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3.81 %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4F5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3AE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5FE11CB1" w14:textId="77777777" w:rsidTr="00201F26">
        <w:trPr>
          <w:trHeight w:val="200"/>
        </w:trPr>
        <w:tc>
          <w:tcPr>
            <w:tcW w:w="2863" w:type="dxa"/>
          </w:tcPr>
          <w:p w14:paraId="72243FDC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Leeds Building Society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CDE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432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4C3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A94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P2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BCF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79A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52B76D7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27A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043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525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0C2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3156C947" w14:textId="77777777" w:rsidTr="00201F26">
        <w:trPr>
          <w:trHeight w:val="200"/>
        </w:trPr>
        <w:tc>
          <w:tcPr>
            <w:tcW w:w="2863" w:type="dxa"/>
          </w:tcPr>
          <w:p w14:paraId="5A169B0D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Lloyds Bank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190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796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70A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9E8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24D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163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3EC507F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490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773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B1E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F60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64A6B93A" w14:textId="77777777" w:rsidTr="00201F26">
        <w:trPr>
          <w:trHeight w:val="200"/>
        </w:trPr>
        <w:tc>
          <w:tcPr>
            <w:tcW w:w="2863" w:type="dxa"/>
          </w:tcPr>
          <w:p w14:paraId="697469C1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Lloyds Bank Corporate Markets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FD7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645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557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D47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180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36C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5F7AA03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76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1FF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1.91 %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376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E52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1.91 %</w:t>
            </w:r>
          </w:p>
        </w:tc>
      </w:tr>
      <w:tr w:rsidR="00893681" w:rsidRPr="007F3D94" w14:paraId="463D951F" w14:textId="77777777" w:rsidTr="00201F26">
        <w:trPr>
          <w:trHeight w:val="200"/>
        </w:trPr>
        <w:tc>
          <w:tcPr>
            <w:tcW w:w="2863" w:type="dxa"/>
          </w:tcPr>
          <w:p w14:paraId="6B1CC3A7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Mizuho Bank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D8D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EE5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AD4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CB8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8CC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718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R1L </w:t>
            </w:r>
          </w:p>
        </w:tc>
        <w:tc>
          <w:tcPr>
            <w:tcW w:w="603" w:type="dxa"/>
          </w:tcPr>
          <w:p w14:paraId="77AD391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9E9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D71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0.95 %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EEE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70A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0.95 %</w:t>
            </w:r>
          </w:p>
        </w:tc>
      </w:tr>
      <w:tr w:rsidR="00893681" w:rsidRPr="007F3D94" w14:paraId="4F5225EE" w14:textId="77777777" w:rsidTr="00201F26">
        <w:trPr>
          <w:trHeight w:val="200"/>
        </w:trPr>
        <w:tc>
          <w:tcPr>
            <w:tcW w:w="2863" w:type="dxa"/>
          </w:tcPr>
          <w:p w14:paraId="438EAEC9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MUFG Bank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3DC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85D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13D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5E3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7EB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E90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170BBA8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350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E87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1.91 %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18E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5ED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1.91 %</w:t>
            </w:r>
          </w:p>
        </w:tc>
      </w:tr>
      <w:tr w:rsidR="00893681" w:rsidRPr="007F3D94" w14:paraId="0BDBE51B" w14:textId="77777777" w:rsidTr="00201F26">
        <w:trPr>
          <w:trHeight w:val="200"/>
        </w:trPr>
        <w:tc>
          <w:tcPr>
            <w:tcW w:w="2863" w:type="dxa"/>
          </w:tcPr>
          <w:p w14:paraId="1D860988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National Australia Bank Limited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79B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ADC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C4D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B33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2A0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367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42A870F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5F4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92A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566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6E9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39034D99" w14:textId="77777777" w:rsidTr="00201F26">
        <w:trPr>
          <w:trHeight w:val="200"/>
        </w:trPr>
        <w:tc>
          <w:tcPr>
            <w:tcW w:w="2863" w:type="dxa"/>
          </w:tcPr>
          <w:p w14:paraId="0DF0FF46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Nationwide Building Society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D85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D55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9DA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FAF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B3C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3E7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593A5A6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44E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5F6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2.57 %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3D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265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75132A4E" w14:textId="77777777" w:rsidTr="00201F26">
        <w:trPr>
          <w:trHeight w:val="200"/>
        </w:trPr>
        <w:tc>
          <w:tcPr>
            <w:tcW w:w="2863" w:type="dxa"/>
          </w:tcPr>
          <w:p w14:paraId="4EC4A692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NatWest Bank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0D8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A96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47C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9C9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4BE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C5F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R1L </w:t>
            </w:r>
          </w:p>
        </w:tc>
        <w:tc>
          <w:tcPr>
            <w:tcW w:w="603" w:type="dxa"/>
          </w:tcPr>
          <w:p w14:paraId="476487E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3CF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F68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0.48 %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591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8C8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0.48 %</w:t>
            </w:r>
          </w:p>
        </w:tc>
      </w:tr>
      <w:tr w:rsidR="00893681" w:rsidRPr="007F3D94" w14:paraId="6D7CAAB4" w14:textId="77777777" w:rsidTr="00201F26">
        <w:trPr>
          <w:trHeight w:val="200"/>
        </w:trPr>
        <w:tc>
          <w:tcPr>
            <w:tcW w:w="2863" w:type="dxa"/>
          </w:tcPr>
          <w:p w14:paraId="7B4AE2CD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NatWest Markets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C50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E02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477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FCF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944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A2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4E1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RIL</w:t>
            </w:r>
          </w:p>
        </w:tc>
        <w:tc>
          <w:tcPr>
            <w:tcW w:w="603" w:type="dxa"/>
          </w:tcPr>
          <w:p w14:paraId="1C14E00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58E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color w:val="000000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156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color w:val="000000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2.86 %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B93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color w:val="000000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127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color w:val="000000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2.86 %</w:t>
            </w:r>
          </w:p>
        </w:tc>
      </w:tr>
      <w:tr w:rsidR="00893681" w:rsidRPr="007F3D94" w14:paraId="26E5E6B6" w14:textId="77777777" w:rsidTr="00201F26">
        <w:trPr>
          <w:trHeight w:val="200"/>
        </w:trPr>
        <w:tc>
          <w:tcPr>
            <w:tcW w:w="2863" w:type="dxa"/>
          </w:tcPr>
          <w:p w14:paraId="62ADAEEE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National Bank of Canada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BDE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77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871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10D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C44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85C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1BE4D12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A50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color w:val="000000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FD2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color w:val="000000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5B1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color w:val="000000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7BB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color w:val="000000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29B846C3" w14:textId="77777777" w:rsidTr="00201F26">
        <w:trPr>
          <w:trHeight w:val="200"/>
        </w:trPr>
        <w:tc>
          <w:tcPr>
            <w:tcW w:w="2863" w:type="dxa"/>
          </w:tcPr>
          <w:p w14:paraId="5CD095AE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Nordea Bank AB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0B9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FEA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87B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532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3F2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32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1466326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0D0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F34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4.29 %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8D5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EBF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3.81 %</w:t>
            </w:r>
          </w:p>
        </w:tc>
      </w:tr>
      <w:tr w:rsidR="00893681" w:rsidRPr="007F3D94" w14:paraId="33565098" w14:textId="77777777" w:rsidTr="00201F26">
        <w:trPr>
          <w:trHeight w:val="200"/>
        </w:trPr>
        <w:tc>
          <w:tcPr>
            <w:tcW w:w="2863" w:type="dxa"/>
          </w:tcPr>
          <w:p w14:paraId="1D7F6D20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Oversea Chinese Banking Corporation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26A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160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EA1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CB7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A78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110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4C23009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A28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51C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551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515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30E2D642" w14:textId="77777777" w:rsidTr="00201F26">
        <w:trPr>
          <w:trHeight w:val="200"/>
        </w:trPr>
        <w:tc>
          <w:tcPr>
            <w:tcW w:w="2863" w:type="dxa"/>
          </w:tcPr>
          <w:p w14:paraId="115EB6D5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Rabobank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42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7E3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88A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6C2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B75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590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1223166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164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953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0.95 %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B53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4B4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0.95 %</w:t>
            </w:r>
          </w:p>
        </w:tc>
      </w:tr>
      <w:tr w:rsidR="00893681" w:rsidRPr="007F3D94" w14:paraId="08970C38" w14:textId="77777777" w:rsidTr="00201F26">
        <w:trPr>
          <w:trHeight w:val="200"/>
        </w:trPr>
        <w:tc>
          <w:tcPr>
            <w:tcW w:w="2863" w:type="dxa"/>
          </w:tcPr>
          <w:p w14:paraId="0942784C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Royal Bank of Canada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B8A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A01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352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F0F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C8E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A86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3A39152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CA5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576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1.43 %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1F4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7DA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1.43 %</w:t>
            </w:r>
          </w:p>
        </w:tc>
      </w:tr>
      <w:tr w:rsidR="00893681" w:rsidRPr="007F3D94" w14:paraId="4C38FF1B" w14:textId="77777777" w:rsidTr="00201F26">
        <w:trPr>
          <w:trHeight w:val="200"/>
        </w:trPr>
        <w:tc>
          <w:tcPr>
            <w:tcW w:w="2863" w:type="dxa"/>
          </w:tcPr>
          <w:p w14:paraId="25BC7BC4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Santander UK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C34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5F2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C43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884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1A9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67F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27E77F6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425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F3D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1.52 %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A99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028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1.43 %</w:t>
            </w:r>
          </w:p>
        </w:tc>
      </w:tr>
      <w:tr w:rsidR="00893681" w:rsidRPr="007F3D94" w14:paraId="0579F1A9" w14:textId="77777777" w:rsidTr="00201F26">
        <w:trPr>
          <w:trHeight w:val="200"/>
        </w:trPr>
        <w:tc>
          <w:tcPr>
            <w:tcW w:w="2863" w:type="dxa"/>
          </w:tcPr>
          <w:p w14:paraId="419F8C65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Skandinaviska Enskilda Banken AB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D38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13B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40F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B8A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700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C82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0941634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869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F76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0.48 %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9B6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BE9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0.48 %</w:t>
            </w:r>
          </w:p>
        </w:tc>
      </w:tr>
      <w:tr w:rsidR="00893681" w:rsidRPr="007F3D94" w14:paraId="759937B8" w14:textId="77777777" w:rsidTr="00201F26">
        <w:trPr>
          <w:trHeight w:val="200"/>
        </w:trPr>
        <w:tc>
          <w:tcPr>
            <w:tcW w:w="2863" w:type="dxa"/>
          </w:tcPr>
          <w:p w14:paraId="32389538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SMBC Bank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15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BBF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FA9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E58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128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FF9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6268E8B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C2C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D6E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60E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20E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4530BF95" w14:textId="77777777" w:rsidTr="00201F26">
        <w:trPr>
          <w:trHeight w:val="200"/>
        </w:trPr>
        <w:tc>
          <w:tcPr>
            <w:tcW w:w="2863" w:type="dxa"/>
          </w:tcPr>
          <w:p w14:paraId="11FB81D6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SMBC Bank International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A91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841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50E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B91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802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EEA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28AF1CA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6EBC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1F5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4.29 %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9F9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C3F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4.29 %</w:t>
            </w:r>
          </w:p>
        </w:tc>
      </w:tr>
      <w:tr w:rsidR="00893681" w:rsidRPr="007F3D94" w14:paraId="51D001AF" w14:textId="77777777" w:rsidTr="00201F26">
        <w:trPr>
          <w:trHeight w:val="200"/>
        </w:trPr>
        <w:tc>
          <w:tcPr>
            <w:tcW w:w="2863" w:type="dxa"/>
          </w:tcPr>
          <w:p w14:paraId="7A32A3B2" w14:textId="77777777" w:rsidR="00893681" w:rsidRPr="00893681" w:rsidRDefault="00893681" w:rsidP="00893681">
            <w:pPr>
              <w:jc w:val="right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Sumitomo Mitsui Trust Bank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EB70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E042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2324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C36B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A135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5714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7C217886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99DA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0CB3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0.95 %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F3F7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0266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0.95 %</w:t>
            </w:r>
          </w:p>
        </w:tc>
      </w:tr>
      <w:tr w:rsidR="00893681" w:rsidRPr="007F3D94" w14:paraId="45D24BA3" w14:textId="77777777" w:rsidTr="00201F26">
        <w:trPr>
          <w:trHeight w:val="200"/>
        </w:trPr>
        <w:tc>
          <w:tcPr>
            <w:tcW w:w="2863" w:type="dxa"/>
          </w:tcPr>
          <w:p w14:paraId="33DD6F84" w14:textId="77777777" w:rsidR="00893681" w:rsidRPr="00893681" w:rsidRDefault="00893681" w:rsidP="00893681">
            <w:pPr>
              <w:jc w:val="right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Societe Generale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E5BB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B69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7B3D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A2CE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BC42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20E5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1B14C0D8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D52C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9D07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D72F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DE0C" w14:textId="77777777" w:rsidR="00893681" w:rsidRPr="00893681" w:rsidRDefault="00893681" w:rsidP="00893681">
            <w:pPr>
              <w:jc w:val="center"/>
              <w:rPr>
                <w:rFonts w:ascii="Bembo Std" w:hAnsi="Bembo Std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0378F236" w14:textId="77777777" w:rsidTr="00201F26">
        <w:trPr>
          <w:trHeight w:val="200"/>
        </w:trPr>
        <w:tc>
          <w:tcPr>
            <w:tcW w:w="2863" w:type="dxa"/>
          </w:tcPr>
          <w:p w14:paraId="2FAC8322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Standard Chartered Bank plc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7DC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022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91F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92B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269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399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5612268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11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2F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0.95 %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015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3A0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0.95 %</w:t>
            </w:r>
          </w:p>
        </w:tc>
      </w:tr>
      <w:tr w:rsidR="00893681" w:rsidRPr="007F3D94" w14:paraId="76EF08C8" w14:textId="77777777" w:rsidTr="00201F26">
        <w:trPr>
          <w:trHeight w:val="200"/>
        </w:trPr>
        <w:tc>
          <w:tcPr>
            <w:tcW w:w="2863" w:type="dxa"/>
          </w:tcPr>
          <w:p w14:paraId="51F0BDC9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Toronto Dominion Bank (The)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9C6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700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DC9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661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8D5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498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</w:tcPr>
          <w:p w14:paraId="41ABCB8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E8E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126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2.86 %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FEA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D7D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2.86 %</w:t>
            </w:r>
          </w:p>
        </w:tc>
      </w:tr>
      <w:tr w:rsidR="00893681" w:rsidRPr="007F3D94" w14:paraId="05A70C0C" w14:textId="77777777" w:rsidTr="00201F26">
        <w:trPr>
          <w:trHeight w:val="200"/>
        </w:trPr>
        <w:tc>
          <w:tcPr>
            <w:tcW w:w="2863" w:type="dxa"/>
          </w:tcPr>
          <w:p w14:paraId="4B30D625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UBS AG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1C1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5F3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B2E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189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30E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D189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R1M </w:t>
            </w:r>
          </w:p>
        </w:tc>
        <w:tc>
          <w:tcPr>
            <w:tcW w:w="603" w:type="dxa"/>
          </w:tcPr>
          <w:p w14:paraId="59E13BA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491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CB0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1.91 %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615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67C6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1.91 %</w:t>
            </w:r>
          </w:p>
        </w:tc>
      </w:tr>
      <w:tr w:rsidR="00893681" w:rsidRPr="007F3D94" w14:paraId="1B3B827A" w14:textId="77777777" w:rsidTr="00201F26">
        <w:trPr>
          <w:trHeight w:val="200"/>
        </w:trPr>
        <w:tc>
          <w:tcPr>
            <w:tcW w:w="2863" w:type="dxa"/>
          </w:tcPr>
          <w:p w14:paraId="7485D829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United Overseas Bank Limited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98C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F1+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E15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3CB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133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23E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6FF3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</w:tcPr>
          <w:p w14:paraId="532869B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39F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AFA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C44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EE94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58F2CAAE" w14:textId="77777777" w:rsidTr="00201F26">
        <w:trPr>
          <w:trHeight w:val="200"/>
        </w:trPr>
        <w:tc>
          <w:tcPr>
            <w:tcW w:w="2863" w:type="dxa"/>
            <w:tcBorders>
              <w:bottom w:val="single" w:sz="4" w:space="0" w:color="auto"/>
            </w:tcBorders>
          </w:tcPr>
          <w:p w14:paraId="55094C93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Westpac Banking Corporation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7D7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24CE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E63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0E6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P1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066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A1+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4F2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R1H 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35B5C0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98B2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B80F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F7A8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CA9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  <w:tr w:rsidR="00893681" w:rsidRPr="007F3D94" w14:paraId="6BDC8357" w14:textId="77777777" w:rsidTr="00201F26">
        <w:trPr>
          <w:trHeight w:val="200"/>
        </w:trPr>
        <w:tc>
          <w:tcPr>
            <w:tcW w:w="2863" w:type="dxa"/>
            <w:tcBorders>
              <w:top w:val="single" w:sz="4" w:space="0" w:color="auto"/>
            </w:tcBorders>
          </w:tcPr>
          <w:p w14:paraId="75566347" w14:textId="77777777" w:rsidR="00893681" w:rsidRPr="00893681" w:rsidRDefault="00893681" w:rsidP="00893681">
            <w:pPr>
              <w:jc w:val="right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Yorkshire Building Society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947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F1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E590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A-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859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38F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P2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40C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FA37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NR 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14:paraId="62720DB5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D12A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0E21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7.91 %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C19B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 xml:space="preserve"> 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4B4D" w14:textId="77777777" w:rsidR="00893681" w:rsidRPr="00893681" w:rsidRDefault="00893681" w:rsidP="00893681">
            <w:pPr>
              <w:jc w:val="center"/>
              <w:rPr>
                <w:rFonts w:ascii="Bembo Std" w:hAnsi="Bembo Std" w:cs="Arial"/>
                <w:sz w:val="12"/>
                <w:szCs w:val="12"/>
              </w:rPr>
            </w:pPr>
            <w:r w:rsidRPr="00FD5E22">
              <w:rPr>
                <w:sz w:val="12"/>
                <w:szCs w:val="12"/>
              </w:rPr>
              <w:t>0.00 %</w:t>
            </w:r>
          </w:p>
        </w:tc>
      </w:tr>
    </w:tbl>
    <w:p w14:paraId="05A78D8E" w14:textId="77777777" w:rsidR="00765B5E" w:rsidRPr="007F3D94" w:rsidRDefault="00765B5E" w:rsidP="00765B5E">
      <w:pPr>
        <w:spacing w:before="60"/>
        <w:jc w:val="both"/>
        <w:rPr>
          <w:rFonts w:ascii="Bembo Std" w:hAnsi="Bembo Std"/>
          <w:color w:val="000000"/>
          <w:sz w:val="12"/>
          <w:szCs w:val="12"/>
        </w:rPr>
      </w:pPr>
    </w:p>
    <w:p w14:paraId="07EE3843" w14:textId="77777777" w:rsidR="00011598" w:rsidRDefault="00011598" w:rsidP="00011598">
      <w:pPr>
        <w:spacing w:before="60"/>
        <w:jc w:val="both"/>
        <w:rPr>
          <w:rFonts w:ascii="Bembo Std" w:hAnsi="Bembo Std"/>
          <w:color w:val="000000"/>
          <w:sz w:val="24"/>
          <w:szCs w:val="24"/>
        </w:rPr>
      </w:pPr>
      <w:r>
        <w:rPr>
          <w:rFonts w:ascii="Bembo Std" w:hAnsi="Bembo Std"/>
          <w:color w:val="000000"/>
          <w:sz w:val="24"/>
          <w:szCs w:val="24"/>
        </w:rPr>
        <w:t>Investments</w:t>
      </w:r>
      <w:r w:rsidR="00867E19" w:rsidRPr="00BE453C">
        <w:rPr>
          <w:rFonts w:ascii="Bembo Std" w:hAnsi="Bembo Std"/>
          <w:color w:val="000000"/>
          <w:sz w:val="24"/>
          <w:szCs w:val="24"/>
        </w:rPr>
        <w:t xml:space="preserve"> were all made, within the agreed limits, at the time of execution</w:t>
      </w:r>
      <w:r w:rsidR="00CC7885" w:rsidRPr="00BE453C">
        <w:rPr>
          <w:rFonts w:ascii="Bembo Std" w:hAnsi="Bembo Std"/>
          <w:color w:val="000000"/>
          <w:sz w:val="24"/>
          <w:szCs w:val="24"/>
        </w:rPr>
        <w:t>.</w:t>
      </w:r>
      <w:r w:rsidR="006D56D6" w:rsidRPr="00BE453C">
        <w:rPr>
          <w:rFonts w:ascii="Bembo Std" w:hAnsi="Bembo Std"/>
          <w:color w:val="000000"/>
          <w:sz w:val="24"/>
          <w:szCs w:val="24"/>
        </w:rPr>
        <w:t xml:space="preserve"> </w:t>
      </w:r>
    </w:p>
    <w:p w14:paraId="58F1143E" w14:textId="77777777" w:rsidR="00D86037" w:rsidRDefault="00D86037" w:rsidP="00EF467F">
      <w:pPr>
        <w:spacing w:before="60" w:after="60"/>
        <w:jc w:val="both"/>
        <w:rPr>
          <w:rFonts w:ascii="Bembo Std" w:hAnsi="Bembo Std"/>
          <w:color w:val="000000"/>
          <w:sz w:val="24"/>
          <w:szCs w:val="24"/>
          <w:u w:val="single"/>
        </w:rPr>
      </w:pPr>
    </w:p>
    <w:p w14:paraId="33A26751" w14:textId="77777777" w:rsidR="00011598" w:rsidRDefault="00011598" w:rsidP="00EF467F">
      <w:pPr>
        <w:spacing w:before="60" w:after="60"/>
        <w:jc w:val="both"/>
        <w:rPr>
          <w:rFonts w:ascii="Bembo Std" w:hAnsi="Bembo Std"/>
          <w:color w:val="000000"/>
          <w:sz w:val="24"/>
          <w:szCs w:val="24"/>
          <w:u w:val="single"/>
        </w:rPr>
      </w:pPr>
    </w:p>
    <w:p w14:paraId="78624B44" w14:textId="77777777" w:rsidR="00AA2CD2" w:rsidRDefault="00AA2CD2" w:rsidP="00EF467F">
      <w:pPr>
        <w:spacing w:before="60" w:after="60"/>
        <w:jc w:val="both"/>
        <w:rPr>
          <w:rFonts w:ascii="Bembo Std" w:hAnsi="Bembo Std"/>
          <w:color w:val="000000"/>
          <w:sz w:val="24"/>
          <w:szCs w:val="24"/>
          <w:u w:val="single"/>
        </w:rPr>
      </w:pPr>
      <w:r w:rsidRPr="00347ECD">
        <w:rPr>
          <w:rFonts w:ascii="Bembo Std" w:hAnsi="Bembo Std"/>
          <w:color w:val="000000"/>
          <w:sz w:val="24"/>
          <w:szCs w:val="24"/>
          <w:u w:val="single"/>
        </w:rPr>
        <w:lastRenderedPageBreak/>
        <w:t xml:space="preserve">The PSDF Analysis of Country Exposure as </w:t>
      </w:r>
      <w:r w:rsidR="005835AD">
        <w:rPr>
          <w:rFonts w:ascii="Bembo Std" w:hAnsi="Bembo Std"/>
          <w:sz w:val="24"/>
          <w:szCs w:val="24"/>
          <w:u w:val="single"/>
        </w:rPr>
        <w:t xml:space="preserve">of 30 June </w:t>
      </w:r>
      <w:r w:rsidR="007644AE" w:rsidRPr="006572F3">
        <w:rPr>
          <w:rFonts w:ascii="Bembo Std" w:hAnsi="Bembo Std"/>
          <w:sz w:val="24"/>
          <w:szCs w:val="24"/>
          <w:u w:val="single"/>
        </w:rPr>
        <w:t>202</w:t>
      </w:r>
      <w:r w:rsidR="00C15F95">
        <w:rPr>
          <w:rFonts w:ascii="Bembo Std" w:hAnsi="Bembo Std"/>
          <w:sz w:val="24"/>
          <w:szCs w:val="24"/>
          <w:u w:val="single"/>
        </w:rPr>
        <w:t>2</w:t>
      </w:r>
    </w:p>
    <w:p w14:paraId="6DEE5C6C" w14:textId="77777777" w:rsidR="008E21C6" w:rsidRDefault="005835AD" w:rsidP="00EF467F">
      <w:pPr>
        <w:spacing w:before="60" w:after="60"/>
        <w:jc w:val="both"/>
        <w:rPr>
          <w:rFonts w:ascii="Bembo Std" w:hAnsi="Bembo Std"/>
          <w:color w:val="000000"/>
          <w:sz w:val="24"/>
          <w:szCs w:val="24"/>
          <w:u w:val="single"/>
        </w:rPr>
      </w:pPr>
      <w:r>
        <w:rPr>
          <w:noProof/>
        </w:rPr>
        <w:pict w14:anchorId="254F8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87" type="#_x0000_t75" style="position:absolute;left:0;text-align:left;margin-left:0;margin-top:7.95pt;width:423.75pt;height:239.85pt;z-index:251657728;visibility:visible">
            <v:imagedata r:id="rId11" o:title="" croptop="35096f" cropright="14975f"/>
            <w10:wrap type="square"/>
          </v:shape>
        </w:pict>
      </w:r>
    </w:p>
    <w:p w14:paraId="6C5C8AA6" w14:textId="77777777" w:rsidR="007F3D94" w:rsidRPr="00C8428C" w:rsidRDefault="00182D38" w:rsidP="00011598">
      <w:pPr>
        <w:jc w:val="both"/>
        <w:rPr>
          <w:rFonts w:ascii="Bembo Std" w:hAnsi="Bembo Std"/>
          <w:sz w:val="24"/>
          <w:szCs w:val="24"/>
        </w:rPr>
      </w:pPr>
      <w:r>
        <w:rPr>
          <w:rFonts w:ascii="Bembo Std" w:hAnsi="Bembo Std"/>
          <w:sz w:val="24"/>
          <w:szCs w:val="24"/>
        </w:rPr>
        <w:t xml:space="preserve">There has been no material change, the </w:t>
      </w:r>
      <w:r w:rsidR="007F3D94" w:rsidRPr="00D86037">
        <w:rPr>
          <w:rFonts w:ascii="Bembo Std" w:hAnsi="Bembo Std"/>
          <w:sz w:val="24"/>
          <w:szCs w:val="24"/>
        </w:rPr>
        <w:t xml:space="preserve">PSDF lent </w:t>
      </w:r>
      <w:r w:rsidR="005835AD">
        <w:rPr>
          <w:rFonts w:ascii="Bembo Std" w:hAnsi="Bembo Std"/>
          <w:color w:val="000000"/>
          <w:sz w:val="24"/>
          <w:szCs w:val="24"/>
        </w:rPr>
        <w:t>77.85</w:t>
      </w:r>
      <w:r w:rsidR="007F3D94" w:rsidRPr="00201F26">
        <w:rPr>
          <w:rFonts w:ascii="Bembo Std" w:hAnsi="Bembo Std"/>
          <w:color w:val="000000"/>
          <w:sz w:val="24"/>
          <w:szCs w:val="24"/>
        </w:rPr>
        <w:t xml:space="preserve">% </w:t>
      </w:r>
      <w:r w:rsidR="007F3D94">
        <w:rPr>
          <w:rFonts w:ascii="Bembo Std" w:hAnsi="Bembo Std"/>
          <w:sz w:val="24"/>
          <w:szCs w:val="24"/>
        </w:rPr>
        <w:t>(</w:t>
      </w:r>
      <w:r w:rsidR="00893681">
        <w:rPr>
          <w:rFonts w:ascii="Bembo Std" w:hAnsi="Bembo Std"/>
          <w:sz w:val="24"/>
          <w:szCs w:val="24"/>
        </w:rPr>
        <w:t>Feb 22</w:t>
      </w:r>
      <w:r w:rsidR="007F3D94" w:rsidRPr="00D86037">
        <w:rPr>
          <w:rFonts w:ascii="Bembo Std" w:hAnsi="Bembo Std"/>
          <w:sz w:val="24"/>
          <w:szCs w:val="24"/>
        </w:rPr>
        <w:t xml:space="preserve">: </w:t>
      </w:r>
      <w:r w:rsidR="00893681">
        <w:rPr>
          <w:rFonts w:ascii="Bembo Std" w:hAnsi="Bembo Std"/>
          <w:sz w:val="24"/>
          <w:szCs w:val="24"/>
        </w:rPr>
        <w:t>81.61</w:t>
      </w:r>
      <w:r w:rsidR="007F3D94" w:rsidRPr="00D86037">
        <w:rPr>
          <w:rFonts w:ascii="Bembo Std" w:hAnsi="Bembo Std"/>
          <w:sz w:val="24"/>
          <w:szCs w:val="24"/>
        </w:rPr>
        <w:t xml:space="preserve">%) to banks domiciled overseas. </w:t>
      </w:r>
      <w:r w:rsidR="007F3D94" w:rsidRPr="00C8428C">
        <w:rPr>
          <w:rFonts w:ascii="Bembo Std" w:hAnsi="Bembo Std"/>
          <w:sz w:val="24"/>
          <w:szCs w:val="24"/>
        </w:rPr>
        <w:t xml:space="preserve">The largest overseas country exposure was </w:t>
      </w:r>
      <w:r w:rsidR="005835AD">
        <w:rPr>
          <w:rFonts w:ascii="Bembo Std" w:hAnsi="Bembo Std"/>
          <w:sz w:val="24"/>
          <w:szCs w:val="24"/>
        </w:rPr>
        <w:t>18.01</w:t>
      </w:r>
      <w:r w:rsidR="007F3D94" w:rsidRPr="00C8428C">
        <w:rPr>
          <w:rFonts w:ascii="Bembo Std" w:hAnsi="Bembo Std"/>
          <w:sz w:val="24"/>
          <w:szCs w:val="24"/>
        </w:rPr>
        <w:t>% (</w:t>
      </w:r>
      <w:r w:rsidR="00085FC9">
        <w:rPr>
          <w:rFonts w:ascii="Bembo Std" w:hAnsi="Bembo Std"/>
          <w:sz w:val="24"/>
          <w:szCs w:val="24"/>
        </w:rPr>
        <w:t>Feb</w:t>
      </w:r>
      <w:r w:rsidR="007F3D94" w:rsidRPr="00C8428C">
        <w:rPr>
          <w:rFonts w:ascii="Bembo Std" w:hAnsi="Bembo Std"/>
          <w:sz w:val="24"/>
          <w:szCs w:val="24"/>
        </w:rPr>
        <w:t xml:space="preserve">: </w:t>
      </w:r>
      <w:r w:rsidR="00893681">
        <w:rPr>
          <w:rFonts w:ascii="Bembo Std" w:hAnsi="Bembo Std"/>
          <w:sz w:val="24"/>
          <w:szCs w:val="24"/>
        </w:rPr>
        <w:t>17.04</w:t>
      </w:r>
      <w:r w:rsidR="007F3D94" w:rsidRPr="00C8428C">
        <w:rPr>
          <w:rFonts w:ascii="Bembo Std" w:hAnsi="Bembo Std"/>
          <w:sz w:val="24"/>
          <w:szCs w:val="24"/>
        </w:rPr>
        <w:t xml:space="preserve">%) to </w:t>
      </w:r>
      <w:r w:rsidR="00C02F38" w:rsidRPr="00C8428C">
        <w:rPr>
          <w:rFonts w:ascii="Bembo Std" w:hAnsi="Bembo Std"/>
          <w:sz w:val="24"/>
          <w:szCs w:val="24"/>
        </w:rPr>
        <w:t xml:space="preserve">German </w:t>
      </w:r>
      <w:r w:rsidR="007F3D94" w:rsidRPr="00C8428C">
        <w:rPr>
          <w:rFonts w:ascii="Bembo Std" w:hAnsi="Bembo Std"/>
          <w:sz w:val="24"/>
          <w:szCs w:val="24"/>
        </w:rPr>
        <w:t xml:space="preserve">domiciled banks followed by </w:t>
      </w:r>
      <w:r w:rsidR="00C02F38">
        <w:rPr>
          <w:rFonts w:ascii="Bembo Std" w:hAnsi="Bembo Std"/>
          <w:sz w:val="24"/>
          <w:szCs w:val="24"/>
        </w:rPr>
        <w:t>14.</w:t>
      </w:r>
      <w:r w:rsidR="005835AD">
        <w:rPr>
          <w:rFonts w:ascii="Bembo Std" w:hAnsi="Bembo Std"/>
          <w:sz w:val="24"/>
          <w:szCs w:val="24"/>
        </w:rPr>
        <w:t>77</w:t>
      </w:r>
      <w:r w:rsidR="007F3D94" w:rsidRPr="00C8428C">
        <w:rPr>
          <w:rFonts w:ascii="Bembo Std" w:hAnsi="Bembo Std"/>
          <w:sz w:val="24"/>
          <w:szCs w:val="24"/>
        </w:rPr>
        <w:t>% (</w:t>
      </w:r>
      <w:r w:rsidR="005835AD">
        <w:rPr>
          <w:rFonts w:ascii="Bembo Std" w:hAnsi="Bembo Std"/>
          <w:sz w:val="24"/>
          <w:szCs w:val="24"/>
        </w:rPr>
        <w:t>Feb</w:t>
      </w:r>
      <w:r w:rsidR="007F3D94" w:rsidRPr="00C8428C">
        <w:rPr>
          <w:rFonts w:ascii="Bembo Std" w:hAnsi="Bembo Std"/>
          <w:sz w:val="24"/>
          <w:szCs w:val="24"/>
        </w:rPr>
        <w:t xml:space="preserve">: </w:t>
      </w:r>
      <w:r w:rsidR="005835AD">
        <w:rPr>
          <w:rFonts w:ascii="Bembo Std" w:hAnsi="Bembo Std"/>
          <w:sz w:val="24"/>
          <w:szCs w:val="24"/>
        </w:rPr>
        <w:t>14.20</w:t>
      </w:r>
      <w:r w:rsidR="007F3D94" w:rsidRPr="00C8428C">
        <w:rPr>
          <w:rFonts w:ascii="Bembo Std" w:hAnsi="Bembo Std"/>
          <w:sz w:val="24"/>
          <w:szCs w:val="24"/>
        </w:rPr>
        <w:t xml:space="preserve">%) to </w:t>
      </w:r>
      <w:r w:rsidR="00C02F38" w:rsidRPr="00C8428C">
        <w:rPr>
          <w:rFonts w:ascii="Bembo Std" w:hAnsi="Bembo Std"/>
          <w:sz w:val="24"/>
          <w:szCs w:val="24"/>
        </w:rPr>
        <w:t>Canadian</w:t>
      </w:r>
      <w:r w:rsidR="006572F3" w:rsidRPr="00C8428C">
        <w:rPr>
          <w:rFonts w:ascii="Bembo Std" w:hAnsi="Bembo Std"/>
          <w:sz w:val="24"/>
          <w:szCs w:val="24"/>
        </w:rPr>
        <w:t xml:space="preserve"> domiciled b</w:t>
      </w:r>
      <w:r w:rsidR="007F3D94" w:rsidRPr="00C8428C">
        <w:rPr>
          <w:rFonts w:ascii="Bembo Std" w:hAnsi="Bembo Std"/>
          <w:sz w:val="24"/>
          <w:szCs w:val="24"/>
        </w:rPr>
        <w:t>anks.</w:t>
      </w:r>
    </w:p>
    <w:p w14:paraId="35400667" w14:textId="77777777" w:rsidR="007F3D94" w:rsidRPr="00C8428C" w:rsidRDefault="007F3D94" w:rsidP="007F3D94">
      <w:pPr>
        <w:ind w:left="426"/>
        <w:jc w:val="both"/>
        <w:rPr>
          <w:rFonts w:ascii="Bembo Std" w:hAnsi="Bembo Std"/>
          <w:sz w:val="24"/>
          <w:szCs w:val="24"/>
        </w:rPr>
      </w:pPr>
    </w:p>
    <w:p w14:paraId="7442803F" w14:textId="77777777" w:rsidR="00075485" w:rsidRPr="00C8428C" w:rsidRDefault="00C02F38" w:rsidP="00011598">
      <w:pPr>
        <w:jc w:val="both"/>
        <w:rPr>
          <w:rFonts w:ascii="Bembo Std" w:hAnsi="Bembo Std"/>
          <w:sz w:val="24"/>
          <w:szCs w:val="24"/>
        </w:rPr>
      </w:pPr>
      <w:r>
        <w:rPr>
          <w:rFonts w:ascii="Bembo Std" w:hAnsi="Bembo Std"/>
          <w:sz w:val="24"/>
          <w:szCs w:val="24"/>
        </w:rPr>
        <w:t>Excluding the zero weightings, t</w:t>
      </w:r>
      <w:r w:rsidR="00C8428C" w:rsidRPr="00C8428C">
        <w:rPr>
          <w:rFonts w:ascii="Bembo Std" w:hAnsi="Bembo Std"/>
          <w:sz w:val="24"/>
          <w:szCs w:val="24"/>
        </w:rPr>
        <w:t>he smallest</w:t>
      </w:r>
      <w:r w:rsidR="00795AD3" w:rsidRPr="00C8428C">
        <w:rPr>
          <w:rFonts w:ascii="Bembo Std" w:hAnsi="Bembo Std"/>
          <w:sz w:val="24"/>
          <w:szCs w:val="24"/>
        </w:rPr>
        <w:t xml:space="preserve"> </w:t>
      </w:r>
      <w:r w:rsidR="009D4892" w:rsidRPr="00C8428C">
        <w:rPr>
          <w:rFonts w:ascii="Bembo Std" w:hAnsi="Bembo Std"/>
          <w:sz w:val="24"/>
          <w:szCs w:val="24"/>
        </w:rPr>
        <w:t xml:space="preserve">exposure </w:t>
      </w:r>
      <w:r>
        <w:rPr>
          <w:rFonts w:ascii="Bembo Std" w:hAnsi="Bembo Std"/>
          <w:sz w:val="24"/>
          <w:szCs w:val="24"/>
        </w:rPr>
        <w:t>is with the Australian banks</w:t>
      </w:r>
      <w:r w:rsidR="00795AD3" w:rsidRPr="00C8428C">
        <w:rPr>
          <w:rFonts w:ascii="Bembo Std" w:hAnsi="Bembo Std"/>
          <w:sz w:val="24"/>
          <w:szCs w:val="24"/>
        </w:rPr>
        <w:t>.</w:t>
      </w:r>
      <w:r w:rsidR="00075485" w:rsidRPr="00C8428C">
        <w:rPr>
          <w:rFonts w:ascii="Bembo Std" w:hAnsi="Bembo Std"/>
          <w:sz w:val="24"/>
          <w:szCs w:val="24"/>
        </w:rPr>
        <w:t xml:space="preserve"> </w:t>
      </w:r>
    </w:p>
    <w:p w14:paraId="363EE121" w14:textId="77777777" w:rsidR="009D393D" w:rsidRPr="00347ECD" w:rsidRDefault="009D393D" w:rsidP="004E1D28">
      <w:pPr>
        <w:jc w:val="both"/>
        <w:rPr>
          <w:rFonts w:ascii="Bembo Std" w:hAnsi="Bembo Std"/>
          <w:color w:val="000000"/>
        </w:rPr>
      </w:pPr>
    </w:p>
    <w:sectPr w:rsidR="009D393D" w:rsidRPr="00347ECD" w:rsidSect="00A50BCC">
      <w:footerReference w:type="even" r:id="rId12"/>
      <w:pgSz w:w="11907" w:h="16840" w:code="9"/>
      <w:pgMar w:top="1440" w:right="1588" w:bottom="1440" w:left="158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322B" w14:textId="77777777" w:rsidR="006D5A43" w:rsidRDefault="006D5A43">
      <w:r>
        <w:separator/>
      </w:r>
    </w:p>
  </w:endnote>
  <w:endnote w:type="continuationSeparator" w:id="0">
    <w:p w14:paraId="1BCC1A5F" w14:textId="77777777" w:rsidR="006D5A43" w:rsidRDefault="006D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8FF9" w14:textId="77777777" w:rsidR="00C8428C" w:rsidRDefault="00C8428C" w:rsidP="00072C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F962730" w14:textId="77777777" w:rsidR="00C8428C" w:rsidRDefault="00C84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77F6" w14:textId="77777777" w:rsidR="006D5A43" w:rsidRDefault="006D5A43">
      <w:r>
        <w:separator/>
      </w:r>
    </w:p>
  </w:footnote>
  <w:footnote w:type="continuationSeparator" w:id="0">
    <w:p w14:paraId="15DCD25D" w14:textId="77777777" w:rsidR="006D5A43" w:rsidRDefault="006D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5E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044F6F"/>
    <w:multiLevelType w:val="hybridMultilevel"/>
    <w:tmpl w:val="3ED6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475"/>
    <w:multiLevelType w:val="hybridMultilevel"/>
    <w:tmpl w:val="953EF59E"/>
    <w:lvl w:ilvl="0" w:tplc="4FF2745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9E"/>
    <w:multiLevelType w:val="hybridMultilevel"/>
    <w:tmpl w:val="B6B2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013F"/>
    <w:multiLevelType w:val="hybridMultilevel"/>
    <w:tmpl w:val="FFC6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57681"/>
    <w:multiLevelType w:val="hybridMultilevel"/>
    <w:tmpl w:val="EF6A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27214"/>
    <w:multiLevelType w:val="hybridMultilevel"/>
    <w:tmpl w:val="A1FE03BC"/>
    <w:lvl w:ilvl="0" w:tplc="9FE21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C85ECA"/>
    <w:multiLevelType w:val="hybridMultilevel"/>
    <w:tmpl w:val="7D98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37DF4"/>
    <w:multiLevelType w:val="hybridMultilevel"/>
    <w:tmpl w:val="AA8C3380"/>
    <w:lvl w:ilvl="0" w:tplc="B6989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F48B6"/>
    <w:multiLevelType w:val="hybridMultilevel"/>
    <w:tmpl w:val="DF52F05E"/>
    <w:lvl w:ilvl="0" w:tplc="FAAC3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35F0E"/>
    <w:multiLevelType w:val="hybridMultilevel"/>
    <w:tmpl w:val="654C7AF8"/>
    <w:lvl w:ilvl="0" w:tplc="93B645B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90FED"/>
    <w:multiLevelType w:val="hybridMultilevel"/>
    <w:tmpl w:val="3508D8F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250C0"/>
    <w:multiLevelType w:val="hybridMultilevel"/>
    <w:tmpl w:val="0C4AADD2"/>
    <w:lvl w:ilvl="0" w:tplc="D68A2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5723D"/>
    <w:multiLevelType w:val="hybridMultilevel"/>
    <w:tmpl w:val="C04839BC"/>
    <w:lvl w:ilvl="0" w:tplc="F1A29C1C">
      <w:start w:val="1"/>
      <w:numFmt w:val="bullet"/>
      <w:lvlText w:val=""/>
      <w:lvlJc w:val="left"/>
      <w:pPr>
        <w:tabs>
          <w:tab w:val="num" w:pos="30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64E90ED5"/>
    <w:multiLevelType w:val="multilevel"/>
    <w:tmpl w:val="3508D8F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90CB5"/>
    <w:multiLevelType w:val="hybridMultilevel"/>
    <w:tmpl w:val="7C761BB6"/>
    <w:lvl w:ilvl="0" w:tplc="4FF2745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77518"/>
    <w:multiLevelType w:val="multilevel"/>
    <w:tmpl w:val="C04839BC"/>
    <w:lvl w:ilvl="0">
      <w:start w:val="1"/>
      <w:numFmt w:val="bullet"/>
      <w:lvlText w:val=""/>
      <w:lvlJc w:val="left"/>
      <w:pPr>
        <w:tabs>
          <w:tab w:val="num" w:pos="30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79730F19"/>
    <w:multiLevelType w:val="hybridMultilevel"/>
    <w:tmpl w:val="D22C9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35BAA"/>
    <w:multiLevelType w:val="hybridMultilevel"/>
    <w:tmpl w:val="DEB2DC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FC576C8"/>
    <w:multiLevelType w:val="hybridMultilevel"/>
    <w:tmpl w:val="4AE4869E"/>
    <w:lvl w:ilvl="0" w:tplc="FED02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165788">
    <w:abstractNumId w:val="15"/>
  </w:num>
  <w:num w:numId="2" w16cid:durableId="1331758719">
    <w:abstractNumId w:val="2"/>
  </w:num>
  <w:num w:numId="3" w16cid:durableId="1529761144">
    <w:abstractNumId w:val="0"/>
  </w:num>
  <w:num w:numId="4" w16cid:durableId="870990961">
    <w:abstractNumId w:val="9"/>
  </w:num>
  <w:num w:numId="5" w16cid:durableId="1662386269">
    <w:abstractNumId w:val="13"/>
  </w:num>
  <w:num w:numId="6" w16cid:durableId="243027680">
    <w:abstractNumId w:val="16"/>
  </w:num>
  <w:num w:numId="7" w16cid:durableId="451479118">
    <w:abstractNumId w:val="17"/>
  </w:num>
  <w:num w:numId="8" w16cid:durableId="499272155">
    <w:abstractNumId w:val="11"/>
  </w:num>
  <w:num w:numId="9" w16cid:durableId="643968091">
    <w:abstractNumId w:val="14"/>
  </w:num>
  <w:num w:numId="10" w16cid:durableId="1396196753">
    <w:abstractNumId w:val="8"/>
  </w:num>
  <w:num w:numId="11" w16cid:durableId="468863929">
    <w:abstractNumId w:val="6"/>
  </w:num>
  <w:num w:numId="12" w16cid:durableId="927232344">
    <w:abstractNumId w:val="3"/>
  </w:num>
  <w:num w:numId="13" w16cid:durableId="517736517">
    <w:abstractNumId w:val="4"/>
  </w:num>
  <w:num w:numId="14" w16cid:durableId="1592395708">
    <w:abstractNumId w:val="18"/>
  </w:num>
  <w:num w:numId="15" w16cid:durableId="1575043055">
    <w:abstractNumId w:val="7"/>
  </w:num>
  <w:num w:numId="16" w16cid:durableId="2110615796">
    <w:abstractNumId w:val="1"/>
  </w:num>
  <w:num w:numId="17" w16cid:durableId="325851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811169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40043981">
    <w:abstractNumId w:val="19"/>
  </w:num>
  <w:num w:numId="20" w16cid:durableId="88128780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96"/>
    <w:rsid w:val="000009A4"/>
    <w:rsid w:val="00002FEF"/>
    <w:rsid w:val="00003199"/>
    <w:rsid w:val="00003F83"/>
    <w:rsid w:val="0000462D"/>
    <w:rsid w:val="00004BF3"/>
    <w:rsid w:val="000053B3"/>
    <w:rsid w:val="00006D76"/>
    <w:rsid w:val="00011598"/>
    <w:rsid w:val="000176FD"/>
    <w:rsid w:val="000217C4"/>
    <w:rsid w:val="00021A1E"/>
    <w:rsid w:val="00024317"/>
    <w:rsid w:val="00025494"/>
    <w:rsid w:val="00027CBF"/>
    <w:rsid w:val="00032F1E"/>
    <w:rsid w:val="00041421"/>
    <w:rsid w:val="000566DC"/>
    <w:rsid w:val="00056C36"/>
    <w:rsid w:val="00061379"/>
    <w:rsid w:val="00061927"/>
    <w:rsid w:val="00064018"/>
    <w:rsid w:val="0006641A"/>
    <w:rsid w:val="00072C3D"/>
    <w:rsid w:val="00075485"/>
    <w:rsid w:val="00077103"/>
    <w:rsid w:val="00081746"/>
    <w:rsid w:val="00082CB6"/>
    <w:rsid w:val="00085FC9"/>
    <w:rsid w:val="000A20C9"/>
    <w:rsid w:val="000A24F1"/>
    <w:rsid w:val="000B278C"/>
    <w:rsid w:val="000B3F16"/>
    <w:rsid w:val="000B4133"/>
    <w:rsid w:val="000C12E8"/>
    <w:rsid w:val="000C1FD2"/>
    <w:rsid w:val="000C258E"/>
    <w:rsid w:val="000C3980"/>
    <w:rsid w:val="000C3AEB"/>
    <w:rsid w:val="000C4313"/>
    <w:rsid w:val="000D6A65"/>
    <w:rsid w:val="000D6A82"/>
    <w:rsid w:val="000D6C9B"/>
    <w:rsid w:val="000E2F07"/>
    <w:rsid w:val="000E516A"/>
    <w:rsid w:val="000E54D5"/>
    <w:rsid w:val="000E6061"/>
    <w:rsid w:val="000F238C"/>
    <w:rsid w:val="000F4FD3"/>
    <w:rsid w:val="000F702B"/>
    <w:rsid w:val="000F7431"/>
    <w:rsid w:val="00103D4D"/>
    <w:rsid w:val="001053FA"/>
    <w:rsid w:val="00106917"/>
    <w:rsid w:val="00112FCF"/>
    <w:rsid w:val="00120E38"/>
    <w:rsid w:val="001216CF"/>
    <w:rsid w:val="00121A66"/>
    <w:rsid w:val="00122E4D"/>
    <w:rsid w:val="00124C90"/>
    <w:rsid w:val="00132B2B"/>
    <w:rsid w:val="00133CE8"/>
    <w:rsid w:val="00142C9F"/>
    <w:rsid w:val="00144CAD"/>
    <w:rsid w:val="00146D62"/>
    <w:rsid w:val="001479A1"/>
    <w:rsid w:val="00165801"/>
    <w:rsid w:val="001726E2"/>
    <w:rsid w:val="001740DF"/>
    <w:rsid w:val="00182503"/>
    <w:rsid w:val="00182D38"/>
    <w:rsid w:val="001868A8"/>
    <w:rsid w:val="00186AD6"/>
    <w:rsid w:val="00192239"/>
    <w:rsid w:val="00192BBE"/>
    <w:rsid w:val="001935DA"/>
    <w:rsid w:val="00195F42"/>
    <w:rsid w:val="001A0B5C"/>
    <w:rsid w:val="001A2091"/>
    <w:rsid w:val="001A2650"/>
    <w:rsid w:val="001A760C"/>
    <w:rsid w:val="001B4D31"/>
    <w:rsid w:val="001C1E12"/>
    <w:rsid w:val="001C3A40"/>
    <w:rsid w:val="001C5E69"/>
    <w:rsid w:val="001C6D71"/>
    <w:rsid w:val="001D23E0"/>
    <w:rsid w:val="001D27BD"/>
    <w:rsid w:val="001D484D"/>
    <w:rsid w:val="001D6715"/>
    <w:rsid w:val="001F2288"/>
    <w:rsid w:val="001F65DE"/>
    <w:rsid w:val="00201F26"/>
    <w:rsid w:val="00211861"/>
    <w:rsid w:val="00216C66"/>
    <w:rsid w:val="002259CA"/>
    <w:rsid w:val="00225D70"/>
    <w:rsid w:val="00227ACC"/>
    <w:rsid w:val="00230161"/>
    <w:rsid w:val="002305A0"/>
    <w:rsid w:val="002360E8"/>
    <w:rsid w:val="00242E17"/>
    <w:rsid w:val="00243410"/>
    <w:rsid w:val="00243DAC"/>
    <w:rsid w:val="00245737"/>
    <w:rsid w:val="0025043B"/>
    <w:rsid w:val="0026088F"/>
    <w:rsid w:val="0026119B"/>
    <w:rsid w:val="00271530"/>
    <w:rsid w:val="00273866"/>
    <w:rsid w:val="00274F51"/>
    <w:rsid w:val="00280A1B"/>
    <w:rsid w:val="00280E24"/>
    <w:rsid w:val="002875E1"/>
    <w:rsid w:val="002879A3"/>
    <w:rsid w:val="00287EAF"/>
    <w:rsid w:val="00292182"/>
    <w:rsid w:val="002926B4"/>
    <w:rsid w:val="00292CC5"/>
    <w:rsid w:val="00293FEF"/>
    <w:rsid w:val="002954BD"/>
    <w:rsid w:val="00295BBE"/>
    <w:rsid w:val="00297B3E"/>
    <w:rsid w:val="002A5CF7"/>
    <w:rsid w:val="002B2918"/>
    <w:rsid w:val="002B62FE"/>
    <w:rsid w:val="002B6E10"/>
    <w:rsid w:val="002C0BE9"/>
    <w:rsid w:val="002D38CD"/>
    <w:rsid w:val="002D3A5E"/>
    <w:rsid w:val="002D70BF"/>
    <w:rsid w:val="002E3260"/>
    <w:rsid w:val="002F0506"/>
    <w:rsid w:val="002F15F3"/>
    <w:rsid w:val="002F2C87"/>
    <w:rsid w:val="002F6B5E"/>
    <w:rsid w:val="0030552A"/>
    <w:rsid w:val="0031341D"/>
    <w:rsid w:val="0031494D"/>
    <w:rsid w:val="00316BBA"/>
    <w:rsid w:val="00316D39"/>
    <w:rsid w:val="00335886"/>
    <w:rsid w:val="0033610F"/>
    <w:rsid w:val="003375F3"/>
    <w:rsid w:val="0034604B"/>
    <w:rsid w:val="00347ECD"/>
    <w:rsid w:val="003501EC"/>
    <w:rsid w:val="003518CB"/>
    <w:rsid w:val="00352889"/>
    <w:rsid w:val="0036711C"/>
    <w:rsid w:val="003707CF"/>
    <w:rsid w:val="00372322"/>
    <w:rsid w:val="00373BF9"/>
    <w:rsid w:val="0037687D"/>
    <w:rsid w:val="0037758F"/>
    <w:rsid w:val="00383383"/>
    <w:rsid w:val="00384AB9"/>
    <w:rsid w:val="0038667B"/>
    <w:rsid w:val="0039069D"/>
    <w:rsid w:val="003912CB"/>
    <w:rsid w:val="0039204B"/>
    <w:rsid w:val="0039336D"/>
    <w:rsid w:val="00394596"/>
    <w:rsid w:val="003A22DA"/>
    <w:rsid w:val="003A4322"/>
    <w:rsid w:val="003A7614"/>
    <w:rsid w:val="003A7C75"/>
    <w:rsid w:val="003B27D7"/>
    <w:rsid w:val="003B40D1"/>
    <w:rsid w:val="003B6DDB"/>
    <w:rsid w:val="003C1B95"/>
    <w:rsid w:val="003C2A59"/>
    <w:rsid w:val="003D206A"/>
    <w:rsid w:val="003D59E6"/>
    <w:rsid w:val="003E46B0"/>
    <w:rsid w:val="003E50D2"/>
    <w:rsid w:val="003F073D"/>
    <w:rsid w:val="003F4825"/>
    <w:rsid w:val="003F4E89"/>
    <w:rsid w:val="00405034"/>
    <w:rsid w:val="00407E62"/>
    <w:rsid w:val="004117A1"/>
    <w:rsid w:val="004132B3"/>
    <w:rsid w:val="004138A3"/>
    <w:rsid w:val="00416ED4"/>
    <w:rsid w:val="00421138"/>
    <w:rsid w:val="0042507E"/>
    <w:rsid w:val="00425608"/>
    <w:rsid w:val="00425DBF"/>
    <w:rsid w:val="00433AF7"/>
    <w:rsid w:val="0043510F"/>
    <w:rsid w:val="0044447A"/>
    <w:rsid w:val="00447A6F"/>
    <w:rsid w:val="00447D6A"/>
    <w:rsid w:val="00451451"/>
    <w:rsid w:val="00453428"/>
    <w:rsid w:val="00453AC2"/>
    <w:rsid w:val="00453BC7"/>
    <w:rsid w:val="004638AE"/>
    <w:rsid w:val="00464F88"/>
    <w:rsid w:val="00465216"/>
    <w:rsid w:val="0047529F"/>
    <w:rsid w:val="00475A27"/>
    <w:rsid w:val="00486AEC"/>
    <w:rsid w:val="00494031"/>
    <w:rsid w:val="0049605A"/>
    <w:rsid w:val="004A182A"/>
    <w:rsid w:val="004A4AE4"/>
    <w:rsid w:val="004B09A1"/>
    <w:rsid w:val="004C3B7A"/>
    <w:rsid w:val="004C5785"/>
    <w:rsid w:val="004C5F27"/>
    <w:rsid w:val="004D501D"/>
    <w:rsid w:val="004E1D28"/>
    <w:rsid w:val="004E56B9"/>
    <w:rsid w:val="004F4106"/>
    <w:rsid w:val="004F5B47"/>
    <w:rsid w:val="00505490"/>
    <w:rsid w:val="00514874"/>
    <w:rsid w:val="00523F0C"/>
    <w:rsid w:val="00524C00"/>
    <w:rsid w:val="00525F96"/>
    <w:rsid w:val="00530EE9"/>
    <w:rsid w:val="00540E49"/>
    <w:rsid w:val="00541811"/>
    <w:rsid w:val="005449F4"/>
    <w:rsid w:val="0054636A"/>
    <w:rsid w:val="00554FCE"/>
    <w:rsid w:val="005565DD"/>
    <w:rsid w:val="00561008"/>
    <w:rsid w:val="00564CB7"/>
    <w:rsid w:val="005669D9"/>
    <w:rsid w:val="00571F17"/>
    <w:rsid w:val="005754C1"/>
    <w:rsid w:val="00576A0A"/>
    <w:rsid w:val="00581ED5"/>
    <w:rsid w:val="00582777"/>
    <w:rsid w:val="005835AD"/>
    <w:rsid w:val="00591A6C"/>
    <w:rsid w:val="00594C86"/>
    <w:rsid w:val="005A57ED"/>
    <w:rsid w:val="005A6A95"/>
    <w:rsid w:val="005A718A"/>
    <w:rsid w:val="005B42D0"/>
    <w:rsid w:val="005C0E7A"/>
    <w:rsid w:val="005C2016"/>
    <w:rsid w:val="005D0EA6"/>
    <w:rsid w:val="005D25D4"/>
    <w:rsid w:val="005D2A29"/>
    <w:rsid w:val="005D2D62"/>
    <w:rsid w:val="005D6D2C"/>
    <w:rsid w:val="005E1967"/>
    <w:rsid w:val="005E1FB9"/>
    <w:rsid w:val="005F0661"/>
    <w:rsid w:val="005F157D"/>
    <w:rsid w:val="005F3BCE"/>
    <w:rsid w:val="005F3F77"/>
    <w:rsid w:val="00601B4E"/>
    <w:rsid w:val="00602200"/>
    <w:rsid w:val="00603505"/>
    <w:rsid w:val="00607E9F"/>
    <w:rsid w:val="0061071D"/>
    <w:rsid w:val="00611D67"/>
    <w:rsid w:val="00613210"/>
    <w:rsid w:val="0062456B"/>
    <w:rsid w:val="00624F26"/>
    <w:rsid w:val="006313CC"/>
    <w:rsid w:val="0063420D"/>
    <w:rsid w:val="00636AE4"/>
    <w:rsid w:val="00641FEC"/>
    <w:rsid w:val="006435EB"/>
    <w:rsid w:val="006461E0"/>
    <w:rsid w:val="00646225"/>
    <w:rsid w:val="00646E48"/>
    <w:rsid w:val="00655821"/>
    <w:rsid w:val="006572F3"/>
    <w:rsid w:val="006638EA"/>
    <w:rsid w:val="006767DA"/>
    <w:rsid w:val="006771CB"/>
    <w:rsid w:val="006800A4"/>
    <w:rsid w:val="00685076"/>
    <w:rsid w:val="00687131"/>
    <w:rsid w:val="00690F9B"/>
    <w:rsid w:val="00694646"/>
    <w:rsid w:val="00696E30"/>
    <w:rsid w:val="006A1796"/>
    <w:rsid w:val="006A38DB"/>
    <w:rsid w:val="006A7CDE"/>
    <w:rsid w:val="006B1EB9"/>
    <w:rsid w:val="006B20E9"/>
    <w:rsid w:val="006B40A1"/>
    <w:rsid w:val="006B6818"/>
    <w:rsid w:val="006C2306"/>
    <w:rsid w:val="006C2482"/>
    <w:rsid w:val="006C606C"/>
    <w:rsid w:val="006C6B6D"/>
    <w:rsid w:val="006C6E78"/>
    <w:rsid w:val="006D0071"/>
    <w:rsid w:val="006D383E"/>
    <w:rsid w:val="006D3E03"/>
    <w:rsid w:val="006D4D85"/>
    <w:rsid w:val="006D56D6"/>
    <w:rsid w:val="006D5A43"/>
    <w:rsid w:val="006E2313"/>
    <w:rsid w:val="006E590B"/>
    <w:rsid w:val="006E6295"/>
    <w:rsid w:val="006F1AE4"/>
    <w:rsid w:val="006F2419"/>
    <w:rsid w:val="006F25B4"/>
    <w:rsid w:val="0070293D"/>
    <w:rsid w:val="00702FB9"/>
    <w:rsid w:val="00703D0E"/>
    <w:rsid w:val="0071393A"/>
    <w:rsid w:val="00716FB1"/>
    <w:rsid w:val="0071702E"/>
    <w:rsid w:val="007257F5"/>
    <w:rsid w:val="00727B22"/>
    <w:rsid w:val="007317EA"/>
    <w:rsid w:val="00737F3E"/>
    <w:rsid w:val="007449AD"/>
    <w:rsid w:val="0075258A"/>
    <w:rsid w:val="00753F15"/>
    <w:rsid w:val="00755B07"/>
    <w:rsid w:val="00755DD5"/>
    <w:rsid w:val="00756BB6"/>
    <w:rsid w:val="007644AE"/>
    <w:rsid w:val="0076525C"/>
    <w:rsid w:val="00765B5E"/>
    <w:rsid w:val="007675FD"/>
    <w:rsid w:val="00775414"/>
    <w:rsid w:val="00775E66"/>
    <w:rsid w:val="00794788"/>
    <w:rsid w:val="00794B9D"/>
    <w:rsid w:val="00795AD3"/>
    <w:rsid w:val="007971B7"/>
    <w:rsid w:val="007A18B9"/>
    <w:rsid w:val="007B0102"/>
    <w:rsid w:val="007B0484"/>
    <w:rsid w:val="007B719B"/>
    <w:rsid w:val="007C4FF9"/>
    <w:rsid w:val="007C71F0"/>
    <w:rsid w:val="007D1671"/>
    <w:rsid w:val="007D57D9"/>
    <w:rsid w:val="007D6555"/>
    <w:rsid w:val="007D7383"/>
    <w:rsid w:val="007E2965"/>
    <w:rsid w:val="007E3F46"/>
    <w:rsid w:val="007E3FD5"/>
    <w:rsid w:val="007E477E"/>
    <w:rsid w:val="007F35F2"/>
    <w:rsid w:val="007F3D94"/>
    <w:rsid w:val="007F441F"/>
    <w:rsid w:val="007F48AD"/>
    <w:rsid w:val="007F7BFA"/>
    <w:rsid w:val="008000D9"/>
    <w:rsid w:val="0080087F"/>
    <w:rsid w:val="008015E3"/>
    <w:rsid w:val="008030B1"/>
    <w:rsid w:val="008040BC"/>
    <w:rsid w:val="008122CA"/>
    <w:rsid w:val="00813651"/>
    <w:rsid w:val="008142AF"/>
    <w:rsid w:val="00814A1E"/>
    <w:rsid w:val="00815039"/>
    <w:rsid w:val="0081728B"/>
    <w:rsid w:val="00817678"/>
    <w:rsid w:val="00822C4E"/>
    <w:rsid w:val="00822DAF"/>
    <w:rsid w:val="008236C7"/>
    <w:rsid w:val="00835BA8"/>
    <w:rsid w:val="008416DC"/>
    <w:rsid w:val="00842419"/>
    <w:rsid w:val="008462CE"/>
    <w:rsid w:val="00847F66"/>
    <w:rsid w:val="00850885"/>
    <w:rsid w:val="008509F2"/>
    <w:rsid w:val="00853C7A"/>
    <w:rsid w:val="00855B58"/>
    <w:rsid w:val="00856AB6"/>
    <w:rsid w:val="008572D7"/>
    <w:rsid w:val="008618A9"/>
    <w:rsid w:val="008655B0"/>
    <w:rsid w:val="00865BD7"/>
    <w:rsid w:val="00867E19"/>
    <w:rsid w:val="008711E1"/>
    <w:rsid w:val="008770A7"/>
    <w:rsid w:val="00877D35"/>
    <w:rsid w:val="00881B16"/>
    <w:rsid w:val="00885051"/>
    <w:rsid w:val="00886387"/>
    <w:rsid w:val="00887053"/>
    <w:rsid w:val="00890D48"/>
    <w:rsid w:val="00893681"/>
    <w:rsid w:val="008A1981"/>
    <w:rsid w:val="008A417E"/>
    <w:rsid w:val="008A436D"/>
    <w:rsid w:val="008A48AB"/>
    <w:rsid w:val="008B145D"/>
    <w:rsid w:val="008B1AC2"/>
    <w:rsid w:val="008B3083"/>
    <w:rsid w:val="008B4ED2"/>
    <w:rsid w:val="008B5686"/>
    <w:rsid w:val="008C0E1D"/>
    <w:rsid w:val="008D038F"/>
    <w:rsid w:val="008D3C82"/>
    <w:rsid w:val="008D4E14"/>
    <w:rsid w:val="008D5D5D"/>
    <w:rsid w:val="008D5E9C"/>
    <w:rsid w:val="008E21C6"/>
    <w:rsid w:val="008E3988"/>
    <w:rsid w:val="008E3BB3"/>
    <w:rsid w:val="008E59E3"/>
    <w:rsid w:val="008E66D7"/>
    <w:rsid w:val="008E78A3"/>
    <w:rsid w:val="008E7BD9"/>
    <w:rsid w:val="008E7F94"/>
    <w:rsid w:val="008F69F3"/>
    <w:rsid w:val="0090054B"/>
    <w:rsid w:val="00902F20"/>
    <w:rsid w:val="0090348C"/>
    <w:rsid w:val="00904BC6"/>
    <w:rsid w:val="00905324"/>
    <w:rsid w:val="0090540B"/>
    <w:rsid w:val="009059D5"/>
    <w:rsid w:val="00905ADB"/>
    <w:rsid w:val="009064FC"/>
    <w:rsid w:val="00906F4D"/>
    <w:rsid w:val="00911173"/>
    <w:rsid w:val="009118A6"/>
    <w:rsid w:val="009128D8"/>
    <w:rsid w:val="00923EF2"/>
    <w:rsid w:val="00923F90"/>
    <w:rsid w:val="00924194"/>
    <w:rsid w:val="00935DD6"/>
    <w:rsid w:val="009414B6"/>
    <w:rsid w:val="009414BD"/>
    <w:rsid w:val="009429C1"/>
    <w:rsid w:val="00943817"/>
    <w:rsid w:val="00945604"/>
    <w:rsid w:val="009459FB"/>
    <w:rsid w:val="00945AF9"/>
    <w:rsid w:val="00946F77"/>
    <w:rsid w:val="00950AD9"/>
    <w:rsid w:val="009567F9"/>
    <w:rsid w:val="00956B2B"/>
    <w:rsid w:val="009633C8"/>
    <w:rsid w:val="00963864"/>
    <w:rsid w:val="00967AAE"/>
    <w:rsid w:val="0097140D"/>
    <w:rsid w:val="009716D0"/>
    <w:rsid w:val="0097184B"/>
    <w:rsid w:val="0097249D"/>
    <w:rsid w:val="00975B3B"/>
    <w:rsid w:val="0098232F"/>
    <w:rsid w:val="0098267B"/>
    <w:rsid w:val="00982930"/>
    <w:rsid w:val="009862E3"/>
    <w:rsid w:val="0099003D"/>
    <w:rsid w:val="00994DF7"/>
    <w:rsid w:val="00995DE4"/>
    <w:rsid w:val="00997156"/>
    <w:rsid w:val="009A13CC"/>
    <w:rsid w:val="009B4623"/>
    <w:rsid w:val="009B76A9"/>
    <w:rsid w:val="009C0C5C"/>
    <w:rsid w:val="009D177A"/>
    <w:rsid w:val="009D2ACE"/>
    <w:rsid w:val="009D393D"/>
    <w:rsid w:val="009D4892"/>
    <w:rsid w:val="009E0C49"/>
    <w:rsid w:val="009F10A2"/>
    <w:rsid w:val="009F536B"/>
    <w:rsid w:val="009F538A"/>
    <w:rsid w:val="009F6251"/>
    <w:rsid w:val="009F63D4"/>
    <w:rsid w:val="009F72B7"/>
    <w:rsid w:val="00A07808"/>
    <w:rsid w:val="00A1275C"/>
    <w:rsid w:val="00A1354B"/>
    <w:rsid w:val="00A1364F"/>
    <w:rsid w:val="00A1377E"/>
    <w:rsid w:val="00A176C1"/>
    <w:rsid w:val="00A21D89"/>
    <w:rsid w:val="00A22BA7"/>
    <w:rsid w:val="00A238D8"/>
    <w:rsid w:val="00A24168"/>
    <w:rsid w:val="00A24D5B"/>
    <w:rsid w:val="00A2593A"/>
    <w:rsid w:val="00A2713D"/>
    <w:rsid w:val="00A336EC"/>
    <w:rsid w:val="00A33AAD"/>
    <w:rsid w:val="00A42E95"/>
    <w:rsid w:val="00A430BC"/>
    <w:rsid w:val="00A45C85"/>
    <w:rsid w:val="00A50BCC"/>
    <w:rsid w:val="00A62022"/>
    <w:rsid w:val="00A62082"/>
    <w:rsid w:val="00A64FA7"/>
    <w:rsid w:val="00A665B6"/>
    <w:rsid w:val="00A7798B"/>
    <w:rsid w:val="00A8254A"/>
    <w:rsid w:val="00A82959"/>
    <w:rsid w:val="00A91314"/>
    <w:rsid w:val="00A94141"/>
    <w:rsid w:val="00A94CDA"/>
    <w:rsid w:val="00AA1979"/>
    <w:rsid w:val="00AA2CD2"/>
    <w:rsid w:val="00AA389E"/>
    <w:rsid w:val="00AA4F16"/>
    <w:rsid w:val="00AA50BB"/>
    <w:rsid w:val="00AB0862"/>
    <w:rsid w:val="00AB1DFD"/>
    <w:rsid w:val="00AB365F"/>
    <w:rsid w:val="00AB59D5"/>
    <w:rsid w:val="00AB5E7D"/>
    <w:rsid w:val="00AC32C0"/>
    <w:rsid w:val="00AC3527"/>
    <w:rsid w:val="00AC3D67"/>
    <w:rsid w:val="00AC6B2F"/>
    <w:rsid w:val="00AD220F"/>
    <w:rsid w:val="00AD403D"/>
    <w:rsid w:val="00AD44E7"/>
    <w:rsid w:val="00AD4D48"/>
    <w:rsid w:val="00AD719A"/>
    <w:rsid w:val="00AD72C3"/>
    <w:rsid w:val="00AE08D2"/>
    <w:rsid w:val="00AE2425"/>
    <w:rsid w:val="00AE61CB"/>
    <w:rsid w:val="00AF1F91"/>
    <w:rsid w:val="00AF38EB"/>
    <w:rsid w:val="00B00920"/>
    <w:rsid w:val="00B016EA"/>
    <w:rsid w:val="00B03F02"/>
    <w:rsid w:val="00B06C3F"/>
    <w:rsid w:val="00B10AB7"/>
    <w:rsid w:val="00B134C1"/>
    <w:rsid w:val="00B138C7"/>
    <w:rsid w:val="00B160C2"/>
    <w:rsid w:val="00B1796D"/>
    <w:rsid w:val="00B21CB1"/>
    <w:rsid w:val="00B21D2E"/>
    <w:rsid w:val="00B228AD"/>
    <w:rsid w:val="00B25DAA"/>
    <w:rsid w:val="00B25F7B"/>
    <w:rsid w:val="00B261D1"/>
    <w:rsid w:val="00B32010"/>
    <w:rsid w:val="00B32CCE"/>
    <w:rsid w:val="00B33B04"/>
    <w:rsid w:val="00B34612"/>
    <w:rsid w:val="00B35938"/>
    <w:rsid w:val="00B37010"/>
    <w:rsid w:val="00B44287"/>
    <w:rsid w:val="00B516EA"/>
    <w:rsid w:val="00B52AB5"/>
    <w:rsid w:val="00B53028"/>
    <w:rsid w:val="00B56C62"/>
    <w:rsid w:val="00B57081"/>
    <w:rsid w:val="00B66580"/>
    <w:rsid w:val="00B71689"/>
    <w:rsid w:val="00B72CA6"/>
    <w:rsid w:val="00B746BF"/>
    <w:rsid w:val="00B753F8"/>
    <w:rsid w:val="00B75F1B"/>
    <w:rsid w:val="00B77886"/>
    <w:rsid w:val="00B835C9"/>
    <w:rsid w:val="00B87DF5"/>
    <w:rsid w:val="00B910A0"/>
    <w:rsid w:val="00B92080"/>
    <w:rsid w:val="00BA4264"/>
    <w:rsid w:val="00BA633B"/>
    <w:rsid w:val="00BA777E"/>
    <w:rsid w:val="00BA7DE6"/>
    <w:rsid w:val="00BB7424"/>
    <w:rsid w:val="00BC00D8"/>
    <w:rsid w:val="00BC13CA"/>
    <w:rsid w:val="00BC350F"/>
    <w:rsid w:val="00BD5558"/>
    <w:rsid w:val="00BE453C"/>
    <w:rsid w:val="00BE6F8A"/>
    <w:rsid w:val="00BE7E1E"/>
    <w:rsid w:val="00BF048D"/>
    <w:rsid w:val="00BF18DA"/>
    <w:rsid w:val="00BF3D36"/>
    <w:rsid w:val="00BF4DE6"/>
    <w:rsid w:val="00BF63DF"/>
    <w:rsid w:val="00BF7719"/>
    <w:rsid w:val="00C01302"/>
    <w:rsid w:val="00C02F38"/>
    <w:rsid w:val="00C04D83"/>
    <w:rsid w:val="00C12B76"/>
    <w:rsid w:val="00C142FE"/>
    <w:rsid w:val="00C15F95"/>
    <w:rsid w:val="00C17C3E"/>
    <w:rsid w:val="00C200E3"/>
    <w:rsid w:val="00C20C4A"/>
    <w:rsid w:val="00C21BED"/>
    <w:rsid w:val="00C277C0"/>
    <w:rsid w:val="00C27845"/>
    <w:rsid w:val="00C30122"/>
    <w:rsid w:val="00C334F7"/>
    <w:rsid w:val="00C34865"/>
    <w:rsid w:val="00C3642F"/>
    <w:rsid w:val="00C40275"/>
    <w:rsid w:val="00C416AD"/>
    <w:rsid w:val="00C45DB6"/>
    <w:rsid w:val="00C5169C"/>
    <w:rsid w:val="00C54B70"/>
    <w:rsid w:val="00C57394"/>
    <w:rsid w:val="00C60370"/>
    <w:rsid w:val="00C60E66"/>
    <w:rsid w:val="00C6205F"/>
    <w:rsid w:val="00C73D8E"/>
    <w:rsid w:val="00C75F12"/>
    <w:rsid w:val="00C8428C"/>
    <w:rsid w:val="00C84986"/>
    <w:rsid w:val="00C857C2"/>
    <w:rsid w:val="00C909DC"/>
    <w:rsid w:val="00C92B0B"/>
    <w:rsid w:val="00C94295"/>
    <w:rsid w:val="00C96447"/>
    <w:rsid w:val="00CA71C9"/>
    <w:rsid w:val="00CA76B7"/>
    <w:rsid w:val="00CC7885"/>
    <w:rsid w:val="00CD02E2"/>
    <w:rsid w:val="00CD1367"/>
    <w:rsid w:val="00CD13DD"/>
    <w:rsid w:val="00CD1C0B"/>
    <w:rsid w:val="00CD1CEA"/>
    <w:rsid w:val="00CE19F0"/>
    <w:rsid w:val="00CE2015"/>
    <w:rsid w:val="00CE324C"/>
    <w:rsid w:val="00CF6A37"/>
    <w:rsid w:val="00D00DC6"/>
    <w:rsid w:val="00D03845"/>
    <w:rsid w:val="00D114F2"/>
    <w:rsid w:val="00D1271A"/>
    <w:rsid w:val="00D14D17"/>
    <w:rsid w:val="00D1542A"/>
    <w:rsid w:val="00D158EF"/>
    <w:rsid w:val="00D20EFD"/>
    <w:rsid w:val="00D211DA"/>
    <w:rsid w:val="00D248F0"/>
    <w:rsid w:val="00D25BD2"/>
    <w:rsid w:val="00D308AF"/>
    <w:rsid w:val="00D43A5A"/>
    <w:rsid w:val="00D45AF5"/>
    <w:rsid w:val="00D53260"/>
    <w:rsid w:val="00D54E2D"/>
    <w:rsid w:val="00D55B78"/>
    <w:rsid w:val="00D6595E"/>
    <w:rsid w:val="00D65E6A"/>
    <w:rsid w:val="00D7298F"/>
    <w:rsid w:val="00D73227"/>
    <w:rsid w:val="00D73B41"/>
    <w:rsid w:val="00D74F1F"/>
    <w:rsid w:val="00D773F7"/>
    <w:rsid w:val="00D86037"/>
    <w:rsid w:val="00D920BD"/>
    <w:rsid w:val="00D941EC"/>
    <w:rsid w:val="00D968ED"/>
    <w:rsid w:val="00D96C1E"/>
    <w:rsid w:val="00D974B4"/>
    <w:rsid w:val="00D97BEA"/>
    <w:rsid w:val="00DA179C"/>
    <w:rsid w:val="00DA1E7A"/>
    <w:rsid w:val="00DA3038"/>
    <w:rsid w:val="00DA5358"/>
    <w:rsid w:val="00DA7C28"/>
    <w:rsid w:val="00DB2BD7"/>
    <w:rsid w:val="00DB3EBD"/>
    <w:rsid w:val="00DC0A61"/>
    <w:rsid w:val="00DC1CB1"/>
    <w:rsid w:val="00DC4411"/>
    <w:rsid w:val="00DC5D65"/>
    <w:rsid w:val="00DC74D1"/>
    <w:rsid w:val="00DD01F3"/>
    <w:rsid w:val="00DD1E45"/>
    <w:rsid w:val="00DD1E97"/>
    <w:rsid w:val="00DD2168"/>
    <w:rsid w:val="00DD274A"/>
    <w:rsid w:val="00DD28CB"/>
    <w:rsid w:val="00DD3C51"/>
    <w:rsid w:val="00DE1534"/>
    <w:rsid w:val="00DE1C0A"/>
    <w:rsid w:val="00DE25AB"/>
    <w:rsid w:val="00DE60DA"/>
    <w:rsid w:val="00DF0737"/>
    <w:rsid w:val="00DF3F01"/>
    <w:rsid w:val="00DF4D4D"/>
    <w:rsid w:val="00DF79D9"/>
    <w:rsid w:val="00E007FA"/>
    <w:rsid w:val="00E02B70"/>
    <w:rsid w:val="00E0432E"/>
    <w:rsid w:val="00E04D5D"/>
    <w:rsid w:val="00E06C0A"/>
    <w:rsid w:val="00E10B76"/>
    <w:rsid w:val="00E1645E"/>
    <w:rsid w:val="00E21ECD"/>
    <w:rsid w:val="00E24E1B"/>
    <w:rsid w:val="00E25164"/>
    <w:rsid w:val="00E2768D"/>
    <w:rsid w:val="00E30283"/>
    <w:rsid w:val="00E33B46"/>
    <w:rsid w:val="00E4275F"/>
    <w:rsid w:val="00E45B63"/>
    <w:rsid w:val="00E52EF0"/>
    <w:rsid w:val="00E532DC"/>
    <w:rsid w:val="00E53998"/>
    <w:rsid w:val="00E5713D"/>
    <w:rsid w:val="00E6110E"/>
    <w:rsid w:val="00E64DD1"/>
    <w:rsid w:val="00E65C0F"/>
    <w:rsid w:val="00E72992"/>
    <w:rsid w:val="00E94CF8"/>
    <w:rsid w:val="00E95BE0"/>
    <w:rsid w:val="00E96700"/>
    <w:rsid w:val="00EA5C14"/>
    <w:rsid w:val="00EC0C35"/>
    <w:rsid w:val="00EC10B7"/>
    <w:rsid w:val="00EC124B"/>
    <w:rsid w:val="00ED724C"/>
    <w:rsid w:val="00EE03C9"/>
    <w:rsid w:val="00EE274C"/>
    <w:rsid w:val="00EE2946"/>
    <w:rsid w:val="00EE2EAF"/>
    <w:rsid w:val="00EE4805"/>
    <w:rsid w:val="00EE62DA"/>
    <w:rsid w:val="00EF0730"/>
    <w:rsid w:val="00EF1D87"/>
    <w:rsid w:val="00EF467F"/>
    <w:rsid w:val="00EF57B6"/>
    <w:rsid w:val="00F001C4"/>
    <w:rsid w:val="00F01A42"/>
    <w:rsid w:val="00F144F6"/>
    <w:rsid w:val="00F178C5"/>
    <w:rsid w:val="00F17F1A"/>
    <w:rsid w:val="00F327E1"/>
    <w:rsid w:val="00F32C2D"/>
    <w:rsid w:val="00F34279"/>
    <w:rsid w:val="00F34369"/>
    <w:rsid w:val="00F3568D"/>
    <w:rsid w:val="00F438B1"/>
    <w:rsid w:val="00F43F81"/>
    <w:rsid w:val="00F45EFD"/>
    <w:rsid w:val="00F461C6"/>
    <w:rsid w:val="00F50CB5"/>
    <w:rsid w:val="00F57FF8"/>
    <w:rsid w:val="00F76416"/>
    <w:rsid w:val="00F85E39"/>
    <w:rsid w:val="00F870F3"/>
    <w:rsid w:val="00F874D3"/>
    <w:rsid w:val="00F91B05"/>
    <w:rsid w:val="00F97E29"/>
    <w:rsid w:val="00FA092D"/>
    <w:rsid w:val="00FA303D"/>
    <w:rsid w:val="00FA6C2A"/>
    <w:rsid w:val="00FB65D9"/>
    <w:rsid w:val="00FC31A3"/>
    <w:rsid w:val="00FC3EDF"/>
    <w:rsid w:val="00FC5201"/>
    <w:rsid w:val="00FD1054"/>
    <w:rsid w:val="00FD1A95"/>
    <w:rsid w:val="00FD1D65"/>
    <w:rsid w:val="00FD5E22"/>
    <w:rsid w:val="00FE0C5A"/>
    <w:rsid w:val="00FE4304"/>
    <w:rsid w:val="00FE4D0A"/>
    <w:rsid w:val="00FE618D"/>
    <w:rsid w:val="00FE7181"/>
    <w:rsid w:val="00FF4473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570162"/>
  <w15:chartTrackingRefBased/>
  <w15:docId w15:val="{40D64B05-679A-4FD1-8552-E94334D7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686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94596"/>
    <w:pPr>
      <w:tabs>
        <w:tab w:val="center" w:pos="4153"/>
        <w:tab w:val="right" w:pos="8306"/>
      </w:tabs>
    </w:pPr>
    <w:rPr>
      <w:sz w:val="24"/>
      <w:szCs w:val="24"/>
      <w:lang w:eastAsia="en-GB"/>
    </w:rPr>
  </w:style>
  <w:style w:type="paragraph" w:styleId="Footer">
    <w:name w:val="footer"/>
    <w:basedOn w:val="Normal"/>
    <w:rsid w:val="00394596"/>
    <w:pPr>
      <w:tabs>
        <w:tab w:val="center" w:pos="4153"/>
        <w:tab w:val="right" w:pos="8306"/>
      </w:tabs>
    </w:pPr>
    <w:rPr>
      <w:sz w:val="24"/>
      <w:szCs w:val="24"/>
      <w:lang w:eastAsia="en-GB"/>
    </w:rPr>
  </w:style>
  <w:style w:type="character" w:styleId="PageNumber">
    <w:name w:val="page number"/>
    <w:basedOn w:val="DefaultParagraphFont"/>
    <w:rsid w:val="00394596"/>
  </w:style>
  <w:style w:type="table" w:styleId="TableGrid">
    <w:name w:val="Table Grid"/>
    <w:basedOn w:val="TableNormal"/>
    <w:rsid w:val="0039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A7614"/>
    <w:rPr>
      <w:strike w:val="0"/>
      <w:dstrike w:val="0"/>
      <w:color w:val="006E97"/>
      <w:u w:val="none"/>
      <w:effect w:val="none"/>
    </w:rPr>
  </w:style>
  <w:style w:type="paragraph" w:styleId="NormalWeb">
    <w:name w:val="Normal (Web)"/>
    <w:basedOn w:val="Normal"/>
    <w:rsid w:val="003A7614"/>
    <w:pPr>
      <w:spacing w:after="150"/>
    </w:pPr>
    <w:rPr>
      <w:rFonts w:ascii="Times New Roman" w:hAnsi="Times New Roman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8142AF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rsid w:val="003F4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482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3510F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77F3BB6B8B847B9D7B1A61233DE4C" ma:contentTypeVersion="16" ma:contentTypeDescription="Create a new document." ma:contentTypeScope="" ma:versionID="e393a73663bbba1b316cf5135ef97ea0">
  <xsd:schema xmlns:xsd="http://www.w3.org/2001/XMLSchema" xmlns:xs="http://www.w3.org/2001/XMLSchema" xmlns:p="http://schemas.microsoft.com/office/2006/metadata/properties" xmlns:ns2="9e79ee7c-ab89-4cce-8e93-14157747c996" xmlns:ns3="a964d3ee-06d1-4607-b99c-57e329b76458" targetNamespace="http://schemas.microsoft.com/office/2006/metadata/properties" ma:root="true" ma:fieldsID="eedcb721f528602afc7f135f8b8fdcb4" ns2:_="" ns3:_="">
    <xsd:import namespace="9e79ee7c-ab89-4cce-8e93-14157747c996"/>
    <xsd:import namespace="a964d3ee-06d1-4607-b99c-57e329b76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ee7c-ab89-4cce-8e93-14157747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94a016-7bcf-4c4e-be59-bd7240b5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d3ee-06d1-4607-b99c-57e329b76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0e5c6a-3858-42e1-841d-12e21fb752bb}" ma:internalName="TaxCatchAll" ma:showField="CatchAllData" ma:web="a964d3ee-06d1-4607-b99c-57e329b76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4d3ee-06d1-4607-b99c-57e329b76458" xsi:nil="true"/>
    <lcf76f155ced4ddcb4097134ff3c332f xmlns="9e79ee7c-ab89-4cce-8e93-14157747c9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E1314F-0DEE-4B13-94B8-1C3E45774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50553-5E32-439F-B4C6-D834BC5577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633589-EFF9-48B8-BCB8-2D407C054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9ee7c-ab89-4cce-8e93-14157747c996"/>
    <ds:schemaRef ds:uri="a964d3ee-06d1-4607-b99c-57e329b76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33E6D-3476-47AD-BF2F-07C667E8F7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ANALYSIS</vt:lpstr>
    </vt:vector>
  </TitlesOfParts>
  <Company>Owlhouse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ANALYSIS</dc:title>
  <dc:subject/>
  <dc:creator>Stuart Freeman</dc:creator>
  <cp:keywords/>
  <cp:lastModifiedBy>Linda Sharpe</cp:lastModifiedBy>
  <cp:revision>2</cp:revision>
  <cp:lastPrinted>2018-11-08T09:35:00Z</cp:lastPrinted>
  <dcterms:created xsi:type="dcterms:W3CDTF">2022-07-11T11:03:00Z</dcterms:created>
  <dcterms:modified xsi:type="dcterms:W3CDTF">2022-07-11T11:03:00Z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Stuart Freeman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Stuart Freeman</vt:lpwstr>
  </property>
  <property fmtid="{D5CDD505-2E9C-101B-9397-08002B2CF9AE}" pid="5" name="MediaServiceImageTags">
    <vt:lpwstr/>
  </property>
</Properties>
</file>